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041E" w14:textId="296ABD9C" w:rsidR="00BF2002" w:rsidRPr="00982796" w:rsidRDefault="00982796" w:rsidP="00BF2002">
      <w:pPr>
        <w:pStyle w:val="papertitle"/>
        <w:spacing w:before="360" w:after="0"/>
        <w:rPr>
          <w:rFonts w:eastAsia="MS Mincho"/>
          <w:b/>
        </w:rPr>
      </w:pPr>
      <w:r w:rsidRPr="00982796">
        <w:rPr>
          <w:rFonts w:eastAsia="MS Mincho"/>
          <w:b/>
          <w:bCs w:val="0"/>
          <w:i/>
          <w:iCs/>
        </w:rPr>
        <w:t xml:space="preserve">Method for </w:t>
      </w:r>
      <w:r>
        <w:rPr>
          <w:rFonts w:eastAsia="MS Mincho"/>
          <w:b/>
          <w:bCs w:val="0"/>
          <w:i/>
          <w:iCs/>
        </w:rPr>
        <w:t>c</w:t>
      </w:r>
      <w:r w:rsidRPr="00982796">
        <w:rPr>
          <w:rFonts w:eastAsia="MS Mincho"/>
          <w:b/>
          <w:bCs w:val="0"/>
          <w:i/>
          <w:iCs/>
        </w:rPr>
        <w:t xml:space="preserve">alculating the </w:t>
      </w:r>
      <w:r>
        <w:rPr>
          <w:rFonts w:eastAsia="MS Mincho"/>
          <w:b/>
          <w:bCs w:val="0"/>
          <w:i/>
          <w:iCs/>
        </w:rPr>
        <w:t>i</w:t>
      </w:r>
      <w:r w:rsidRPr="00982796">
        <w:rPr>
          <w:rFonts w:eastAsia="MS Mincho"/>
          <w:b/>
          <w:bCs w:val="0"/>
          <w:i/>
          <w:iCs/>
        </w:rPr>
        <w:t xml:space="preserve">ntegral </w:t>
      </w:r>
      <w:r>
        <w:rPr>
          <w:rFonts w:eastAsia="MS Mincho"/>
          <w:b/>
          <w:bCs w:val="0"/>
          <w:i/>
          <w:iCs/>
        </w:rPr>
        <w:t>r</w:t>
      </w:r>
      <w:r w:rsidRPr="00982796">
        <w:rPr>
          <w:rFonts w:eastAsia="MS Mincho"/>
          <w:b/>
          <w:bCs w:val="0"/>
          <w:i/>
          <w:iCs/>
        </w:rPr>
        <w:t xml:space="preserve">isk </w:t>
      </w:r>
      <w:r>
        <w:rPr>
          <w:rFonts w:eastAsia="MS Mincho"/>
          <w:b/>
          <w:bCs w:val="0"/>
          <w:i/>
          <w:iCs/>
        </w:rPr>
        <w:t>i</w:t>
      </w:r>
      <w:r w:rsidRPr="00982796">
        <w:rPr>
          <w:rFonts w:eastAsia="MS Mincho"/>
          <w:b/>
          <w:bCs w:val="0"/>
          <w:i/>
          <w:iCs/>
        </w:rPr>
        <w:t xml:space="preserve">ndex of </w:t>
      </w:r>
      <w:r>
        <w:rPr>
          <w:rFonts w:eastAsia="MS Mincho"/>
          <w:b/>
          <w:bCs w:val="0"/>
          <w:i/>
          <w:iCs/>
        </w:rPr>
        <w:t>c</w:t>
      </w:r>
      <w:r w:rsidRPr="00982796">
        <w:rPr>
          <w:rFonts w:eastAsia="MS Mincho"/>
          <w:b/>
          <w:bCs w:val="0"/>
          <w:i/>
          <w:iCs/>
        </w:rPr>
        <w:t xml:space="preserve">hanges in a </w:t>
      </w:r>
      <w:r>
        <w:rPr>
          <w:rFonts w:eastAsia="MS Mincho"/>
          <w:b/>
          <w:bCs w:val="0"/>
          <w:i/>
          <w:iCs/>
        </w:rPr>
        <w:t>s</w:t>
      </w:r>
      <w:r w:rsidRPr="00982796">
        <w:rPr>
          <w:rFonts w:eastAsia="MS Mincho"/>
          <w:b/>
          <w:bCs w:val="0"/>
          <w:i/>
          <w:iCs/>
        </w:rPr>
        <w:t xml:space="preserve">oftware </w:t>
      </w:r>
      <w:r>
        <w:rPr>
          <w:rFonts w:eastAsia="MS Mincho"/>
          <w:b/>
          <w:bCs w:val="0"/>
          <w:i/>
          <w:iCs/>
        </w:rPr>
        <w:t>p</w:t>
      </w:r>
      <w:r w:rsidRPr="00982796">
        <w:rPr>
          <w:rFonts w:eastAsia="MS Mincho"/>
          <w:b/>
          <w:bCs w:val="0"/>
          <w:i/>
          <w:iCs/>
        </w:rPr>
        <w:t>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5224"/>
      </w:tblGrid>
      <w:tr w:rsidR="00BF2002" w:rsidRPr="008C18F0" w14:paraId="1B3AD1C0" w14:textId="77777777" w:rsidTr="004C7600">
        <w:tc>
          <w:tcPr>
            <w:tcW w:w="5223" w:type="dxa"/>
            <w:tcBorders>
              <w:top w:val="nil"/>
              <w:left w:val="nil"/>
              <w:bottom w:val="nil"/>
              <w:right w:val="nil"/>
            </w:tcBorders>
            <w:shd w:val="clear" w:color="auto" w:fill="auto"/>
          </w:tcPr>
          <w:p w14:paraId="0CDACD7D" w14:textId="77777777" w:rsidR="00BF2002" w:rsidRPr="008C18F0" w:rsidRDefault="00BF2002" w:rsidP="00BF2002">
            <w:pPr>
              <w:pStyle w:val="Author"/>
              <w:rPr>
                <w:rFonts w:eastAsia="MS Mincho"/>
              </w:rPr>
            </w:pPr>
            <w:r w:rsidRPr="008C18F0">
              <w:rPr>
                <w:rFonts w:eastAsia="MS Mincho"/>
              </w:rPr>
              <w:t>Authors Name/s per 1st Affiliation (</w:t>
            </w:r>
            <w:r w:rsidRPr="00995EFB">
              <w:rPr>
                <w:rFonts w:eastAsia="MS Mincho"/>
              </w:rPr>
              <w:t>Author</w:t>
            </w:r>
            <w:r w:rsidRPr="008C18F0">
              <w:rPr>
                <w:rFonts w:eastAsia="MS Mincho"/>
              </w:rPr>
              <w:t>)</w:t>
            </w:r>
          </w:p>
          <w:p w14:paraId="4109FF0A" w14:textId="77777777" w:rsidR="00BF2002" w:rsidRPr="008C18F0" w:rsidRDefault="00BF2002" w:rsidP="00BF2002">
            <w:pPr>
              <w:pStyle w:val="Affiliation"/>
              <w:rPr>
                <w:rFonts w:eastAsia="MS Mincho"/>
              </w:rPr>
            </w:pPr>
            <w:r w:rsidRPr="008C18F0">
              <w:rPr>
                <w:rFonts w:eastAsia="MS Mincho"/>
              </w:rPr>
              <w:t xml:space="preserve">line 1 (of </w:t>
            </w:r>
            <w:r w:rsidRPr="00995EFB">
              <w:rPr>
                <w:rFonts w:eastAsia="MS Mincho"/>
              </w:rPr>
              <w:t>Affiliation</w:t>
            </w:r>
            <w:r w:rsidRPr="008C18F0">
              <w:rPr>
                <w:rFonts w:eastAsia="MS Mincho"/>
              </w:rPr>
              <w:t>): dept. name of organization</w:t>
            </w:r>
          </w:p>
          <w:p w14:paraId="3789F92D" w14:textId="77777777" w:rsidR="00BF2002" w:rsidRPr="008C18F0" w:rsidRDefault="00BF2002" w:rsidP="00BF2002">
            <w:pPr>
              <w:pStyle w:val="Affiliation"/>
              <w:rPr>
                <w:rFonts w:eastAsia="MS Mincho"/>
              </w:rPr>
            </w:pPr>
            <w:r w:rsidRPr="008C18F0">
              <w:rPr>
                <w:rFonts w:eastAsia="MS Mincho"/>
              </w:rPr>
              <w:t>line 2-name of organization, acronyms acceptable</w:t>
            </w:r>
          </w:p>
          <w:p w14:paraId="43290552" w14:textId="77777777" w:rsidR="00BF2002" w:rsidRPr="008C18F0" w:rsidRDefault="00BF2002" w:rsidP="00BF2002">
            <w:pPr>
              <w:pStyle w:val="Affiliation"/>
              <w:rPr>
                <w:rFonts w:eastAsia="MS Mincho"/>
              </w:rPr>
            </w:pPr>
            <w:r w:rsidRPr="008C18F0">
              <w:rPr>
                <w:rFonts w:eastAsia="MS Mincho"/>
              </w:rPr>
              <w:t>line 3-City, Country</w:t>
            </w:r>
          </w:p>
          <w:p w14:paraId="17BDE9B1" w14:textId="77777777" w:rsidR="00BF2002" w:rsidRPr="008C18F0" w:rsidRDefault="00BF2002" w:rsidP="00BF2002">
            <w:pPr>
              <w:pStyle w:val="Affiliation"/>
              <w:rPr>
                <w:rFonts w:eastAsia="MS Mincho"/>
              </w:rPr>
            </w:pPr>
            <w:r w:rsidRPr="008C18F0">
              <w:rPr>
                <w:rFonts w:eastAsia="MS Mincho"/>
              </w:rPr>
              <w:t>line 4-e-mail address if desired</w:t>
            </w:r>
          </w:p>
          <w:p w14:paraId="6BBAE90A" w14:textId="77777777" w:rsidR="00BF2002" w:rsidRPr="008C18F0" w:rsidRDefault="00BF2002" w:rsidP="008C18F0">
            <w:pPr>
              <w:pStyle w:val="papertitle"/>
              <w:spacing w:after="0"/>
              <w:rPr>
                <w:rFonts w:eastAsia="MS Mincho"/>
                <w:b/>
              </w:rPr>
            </w:pPr>
          </w:p>
        </w:tc>
        <w:tc>
          <w:tcPr>
            <w:tcW w:w="5224" w:type="dxa"/>
            <w:tcBorders>
              <w:top w:val="nil"/>
              <w:left w:val="nil"/>
              <w:bottom w:val="nil"/>
              <w:right w:val="nil"/>
            </w:tcBorders>
            <w:shd w:val="clear" w:color="auto" w:fill="auto"/>
          </w:tcPr>
          <w:p w14:paraId="7C8B183E" w14:textId="77777777" w:rsidR="00BF2002" w:rsidRPr="008C18F0" w:rsidRDefault="00BF2002" w:rsidP="00BF2002">
            <w:pPr>
              <w:pStyle w:val="Author"/>
              <w:rPr>
                <w:rFonts w:eastAsia="MS Mincho"/>
              </w:rPr>
            </w:pPr>
            <w:r w:rsidRPr="008C18F0">
              <w:rPr>
                <w:rFonts w:eastAsia="MS Mincho"/>
              </w:rPr>
              <w:t>Authors Name/s per 2nd Affiliation (</w:t>
            </w:r>
            <w:r w:rsidRPr="00995EFB">
              <w:rPr>
                <w:rFonts w:eastAsia="MS Mincho"/>
              </w:rPr>
              <w:t>Author</w:t>
            </w:r>
            <w:r w:rsidRPr="008C18F0">
              <w:rPr>
                <w:rFonts w:eastAsia="MS Mincho"/>
              </w:rPr>
              <w:t>)</w:t>
            </w:r>
          </w:p>
          <w:p w14:paraId="7F2E0D36" w14:textId="77777777" w:rsidR="00BF2002" w:rsidRPr="008C18F0" w:rsidRDefault="00BF2002" w:rsidP="00BF2002">
            <w:pPr>
              <w:pStyle w:val="Affiliation"/>
              <w:rPr>
                <w:rFonts w:eastAsia="MS Mincho"/>
              </w:rPr>
            </w:pPr>
            <w:r w:rsidRPr="008C18F0">
              <w:rPr>
                <w:rFonts w:eastAsia="MS Mincho"/>
              </w:rPr>
              <w:t xml:space="preserve">line 1 (of </w:t>
            </w:r>
            <w:r w:rsidRPr="00995EFB">
              <w:rPr>
                <w:rFonts w:eastAsia="MS Mincho"/>
              </w:rPr>
              <w:t>Affiliation</w:t>
            </w:r>
            <w:r w:rsidRPr="008C18F0">
              <w:rPr>
                <w:rFonts w:eastAsia="MS Mincho"/>
              </w:rPr>
              <w:t>): dept. name of organization</w:t>
            </w:r>
          </w:p>
          <w:p w14:paraId="24BDD937" w14:textId="77777777" w:rsidR="00BF2002" w:rsidRPr="008C18F0" w:rsidRDefault="00BF2002" w:rsidP="00BF2002">
            <w:pPr>
              <w:pStyle w:val="Affiliation"/>
              <w:rPr>
                <w:rFonts w:eastAsia="MS Mincho"/>
              </w:rPr>
            </w:pPr>
            <w:r w:rsidRPr="008C18F0">
              <w:rPr>
                <w:rFonts w:eastAsia="MS Mincho"/>
              </w:rPr>
              <w:t>line 2-name of organization, acronyms acceptable</w:t>
            </w:r>
          </w:p>
          <w:p w14:paraId="2242CB8E" w14:textId="77777777" w:rsidR="00BF2002" w:rsidRPr="008C18F0" w:rsidRDefault="00BF2002" w:rsidP="00BF2002">
            <w:pPr>
              <w:pStyle w:val="Affiliation"/>
              <w:rPr>
                <w:rFonts w:eastAsia="MS Mincho"/>
              </w:rPr>
            </w:pPr>
            <w:r w:rsidRPr="008C18F0">
              <w:rPr>
                <w:rFonts w:eastAsia="MS Mincho"/>
              </w:rPr>
              <w:t>line 3-City, Country</w:t>
            </w:r>
          </w:p>
          <w:p w14:paraId="7787BF61" w14:textId="77777777" w:rsidR="00BF2002" w:rsidRPr="008C18F0" w:rsidRDefault="00BF2002" w:rsidP="00BF2002">
            <w:pPr>
              <w:pStyle w:val="Affiliation"/>
              <w:rPr>
                <w:rFonts w:eastAsia="MS Mincho"/>
              </w:rPr>
            </w:pPr>
            <w:r w:rsidRPr="008C18F0">
              <w:rPr>
                <w:rFonts w:eastAsia="MS Mincho"/>
              </w:rPr>
              <w:t>line 4-e-mail address if desired</w:t>
            </w:r>
          </w:p>
          <w:p w14:paraId="2DC5E04E" w14:textId="77777777" w:rsidR="00BF2002" w:rsidRPr="008C18F0" w:rsidRDefault="00BF2002" w:rsidP="008C18F0">
            <w:pPr>
              <w:pStyle w:val="papertitle"/>
              <w:spacing w:after="0"/>
              <w:rPr>
                <w:rFonts w:eastAsia="MS Mincho"/>
                <w:b/>
              </w:rPr>
            </w:pPr>
          </w:p>
        </w:tc>
      </w:tr>
      <w:tr w:rsidR="00BF2002" w:rsidRPr="00982796" w14:paraId="512FD460" w14:textId="77777777" w:rsidTr="004C7600">
        <w:tc>
          <w:tcPr>
            <w:tcW w:w="10447" w:type="dxa"/>
            <w:gridSpan w:val="2"/>
            <w:tcBorders>
              <w:top w:val="nil"/>
              <w:left w:val="nil"/>
              <w:bottom w:val="nil"/>
              <w:right w:val="nil"/>
            </w:tcBorders>
            <w:shd w:val="clear" w:color="auto" w:fill="auto"/>
          </w:tcPr>
          <w:p w14:paraId="3A8D7C2E" w14:textId="47B3FA70" w:rsidR="00454801" w:rsidRPr="00562D24" w:rsidRDefault="00BF2002" w:rsidP="00454801">
            <w:pPr>
              <w:pStyle w:val="Author"/>
              <w:jc w:val="both"/>
              <w:rPr>
                <w:b/>
                <w:sz w:val="18"/>
                <w:szCs w:val="18"/>
                <w:lang w:val="uk-UA"/>
              </w:rPr>
            </w:pPr>
            <w:r w:rsidRPr="007B349C">
              <w:rPr>
                <w:rFonts w:eastAsia="MS Mincho"/>
                <w:b/>
                <w:i/>
                <w:iCs/>
                <w:sz w:val="18"/>
                <w:szCs w:val="18"/>
              </w:rPr>
              <w:t>Abstract</w:t>
            </w:r>
            <w:r w:rsidRPr="007B349C">
              <w:rPr>
                <w:rFonts w:eastAsia="MS Mincho"/>
                <w:b/>
                <w:i/>
                <w:iCs/>
                <w:sz w:val="18"/>
                <w:szCs w:val="18"/>
                <w:lang w:val="ru-RU"/>
              </w:rPr>
              <w:t xml:space="preserve">. </w:t>
            </w:r>
            <w:r w:rsidR="009B1242" w:rsidRPr="009B1242">
              <w:rPr>
                <w:b/>
                <w:sz w:val="18"/>
                <w:szCs w:val="18"/>
                <w:lang w:val="uk-UA"/>
              </w:rPr>
              <w:t>A</w:t>
            </w:r>
            <w:r w:rsidR="009B1242">
              <w:rPr>
                <w:b/>
                <w:sz w:val="18"/>
                <w:szCs w:val="18"/>
              </w:rPr>
              <w:t>n</w:t>
            </w:r>
            <w:r w:rsidR="009B1242" w:rsidRPr="009B1242">
              <w:rPr>
                <w:b/>
                <w:sz w:val="18"/>
                <w:szCs w:val="18"/>
                <w:lang w:val="uk-UA"/>
              </w:rPr>
              <w:t xml:space="preserve"> approach for quantitatively assessing change risk in a software product is presented. The method compares two versions of a graph model generated from technical documentation. For every node in the updated graph, three measurable quality indicators—performance efficiency, reliability, and maintainability—are calculated. Aggregating these indicators with topological and historical features yields an integral risk index that ranks the modified components. The index can be used in CI/CD pipelines, test‑planning, and technical‑debt management without relying on static code analysis.</w:t>
            </w:r>
          </w:p>
          <w:p w14:paraId="60E1CAD9" w14:textId="5A722DFD" w:rsidR="00BF2002" w:rsidRPr="00982796" w:rsidRDefault="00BF2002" w:rsidP="00454801">
            <w:pPr>
              <w:pStyle w:val="Author"/>
              <w:jc w:val="both"/>
              <w:rPr>
                <w:rFonts w:eastAsia="MS Mincho"/>
                <w:b/>
                <w:sz w:val="18"/>
                <w:szCs w:val="18"/>
              </w:rPr>
            </w:pPr>
            <w:r w:rsidRPr="007B349C">
              <w:rPr>
                <w:rFonts w:eastAsia="MS Mincho"/>
                <w:b/>
                <w:i/>
                <w:sz w:val="18"/>
                <w:szCs w:val="18"/>
              </w:rPr>
              <w:t>Keywords</w:t>
            </w:r>
            <w:r w:rsidRPr="00982796">
              <w:rPr>
                <w:rFonts w:eastAsia="MS Mincho"/>
                <w:b/>
                <w:sz w:val="18"/>
                <w:szCs w:val="18"/>
              </w:rPr>
              <w:t xml:space="preserve">: </w:t>
            </w:r>
            <w:r w:rsidR="00982796" w:rsidRPr="00982796">
              <w:rPr>
                <w:rFonts w:eastAsia="MS Mincho"/>
                <w:b/>
                <w:i/>
                <w:sz w:val="18"/>
                <w:szCs w:val="18"/>
                <w:lang w:val="uk-UA"/>
              </w:rPr>
              <w:t>software product quality, information services, information systems and technologies</w:t>
            </w:r>
            <w:r w:rsidRPr="00562D24">
              <w:rPr>
                <w:rFonts w:eastAsia="MS Mincho"/>
                <w:b/>
                <w:i/>
                <w:sz w:val="18"/>
                <w:szCs w:val="18"/>
                <w:lang w:val="uk-UA"/>
              </w:rPr>
              <w:t>.</w:t>
            </w:r>
          </w:p>
        </w:tc>
      </w:tr>
    </w:tbl>
    <w:p w14:paraId="32F35625" w14:textId="2AA61481" w:rsidR="008A55B5" w:rsidRPr="006D1ABB" w:rsidRDefault="003E27A3" w:rsidP="009355FD">
      <w:pPr>
        <w:pStyle w:val="papertitle"/>
        <w:spacing w:before="360" w:after="0"/>
        <w:rPr>
          <w:rFonts w:eastAsia="MS Mincho"/>
          <w:lang w:val="ru-RU"/>
        </w:rPr>
        <w:sectPr w:rsidR="008A55B5" w:rsidRPr="006D1ABB" w:rsidSect="00E251DB">
          <w:pgSz w:w="11909" w:h="16834" w:code="9"/>
          <w:pgMar w:top="1077" w:right="731" w:bottom="1418" w:left="731" w:header="720" w:footer="720" w:gutter="0"/>
          <w:pgNumType w:start="1"/>
          <w:cols w:space="720"/>
          <w:docGrid w:linePitch="360"/>
        </w:sectPr>
      </w:pPr>
      <w:r w:rsidRPr="003E27A3">
        <w:rPr>
          <w:rFonts w:eastAsia="MS Mincho"/>
          <w:b/>
          <w:bCs w:val="0"/>
          <w:i/>
          <w:iCs/>
          <w:lang w:val="uk-UA"/>
        </w:rPr>
        <w:t xml:space="preserve">Метод </w:t>
      </w:r>
      <w:r w:rsidR="00003FE1">
        <w:rPr>
          <w:rFonts w:eastAsia="MS Mincho"/>
          <w:b/>
          <w:bCs w:val="0"/>
          <w:i/>
          <w:iCs/>
          <w:lang w:val="uk-UA"/>
        </w:rPr>
        <w:t>обчислення інтегрального індексу ризику</w:t>
      </w:r>
      <w:r w:rsidRPr="003E27A3">
        <w:rPr>
          <w:rFonts w:eastAsia="MS Mincho"/>
          <w:b/>
          <w:bCs w:val="0"/>
          <w:i/>
          <w:iCs/>
          <w:lang w:val="uk-UA"/>
        </w:rPr>
        <w:t xml:space="preserve"> змін </w:t>
      </w:r>
      <w:r w:rsidR="000C32CD">
        <w:rPr>
          <w:rFonts w:eastAsia="MS Mincho"/>
          <w:b/>
          <w:bCs w:val="0"/>
          <w:i/>
          <w:iCs/>
          <w:lang w:val="uk-UA"/>
        </w:rPr>
        <w:t>у</w:t>
      </w:r>
      <w:r w:rsidRPr="003E27A3">
        <w:rPr>
          <w:rFonts w:eastAsia="MS Mincho"/>
          <w:b/>
          <w:bCs w:val="0"/>
          <w:i/>
          <w:iCs/>
          <w:lang w:val="uk-UA"/>
        </w:rPr>
        <w:t xml:space="preserve"> програмно</w:t>
      </w:r>
      <w:r w:rsidR="000C32CD">
        <w:rPr>
          <w:rFonts w:eastAsia="MS Mincho"/>
          <w:b/>
          <w:bCs w:val="0"/>
          <w:i/>
          <w:iCs/>
          <w:lang w:val="uk-UA"/>
        </w:rPr>
        <w:t>му</w:t>
      </w:r>
      <w:r w:rsidRPr="003E27A3">
        <w:rPr>
          <w:rFonts w:eastAsia="MS Mincho"/>
          <w:b/>
          <w:bCs w:val="0"/>
          <w:i/>
          <w:iCs/>
          <w:lang w:val="uk-UA"/>
        </w:rPr>
        <w:t xml:space="preserve"> продукт</w:t>
      </w:r>
      <w:r w:rsidR="000C32CD">
        <w:rPr>
          <w:rFonts w:eastAsia="MS Mincho"/>
          <w:b/>
          <w:bCs w:val="0"/>
          <w:i/>
          <w:iCs/>
          <w:lang w:val="uk-UA"/>
        </w:rPr>
        <w:t>і</w:t>
      </w:r>
    </w:p>
    <w:p w14:paraId="3C3C992A" w14:textId="1AD1DE89" w:rsidR="008A55B5" w:rsidRPr="00C62F96" w:rsidRDefault="00982796" w:rsidP="00182610">
      <w:pPr>
        <w:pStyle w:val="Author"/>
        <w:rPr>
          <w:rFonts w:eastAsia="MS Mincho"/>
          <w:lang w:val="ru-RU"/>
        </w:rPr>
      </w:pPr>
      <w:r>
        <w:rPr>
          <w:rFonts w:eastAsia="MS Mincho"/>
          <w:lang w:val="uk-UA"/>
        </w:rPr>
        <w:t>Га</w:t>
      </w:r>
      <w:r w:rsidR="00C62F96">
        <w:rPr>
          <w:rFonts w:eastAsia="MS Mincho"/>
          <w:lang w:val="uk-UA"/>
        </w:rPr>
        <w:t>лушко Дмитро Олександрович</w:t>
      </w:r>
      <w:r w:rsidR="00C62F96" w:rsidRPr="00C62F96">
        <w:rPr>
          <w:rFonts w:eastAsia="MS Mincho"/>
          <w:lang w:val="ru-RU"/>
        </w:rPr>
        <w:t xml:space="preserve">, </w:t>
      </w:r>
      <w:r w:rsidR="00C62F96" w:rsidRPr="00C62F96">
        <w:rPr>
          <w:rFonts w:eastAsia="MS Mincho"/>
          <w:lang w:val="uk-UA"/>
        </w:rPr>
        <w:t>Знова Кирило Валерійович</w:t>
      </w:r>
    </w:p>
    <w:p w14:paraId="7BCCC449" w14:textId="16DB3A40" w:rsidR="008A55B5" w:rsidRPr="00562D24" w:rsidRDefault="00C62F96" w:rsidP="00182610">
      <w:pPr>
        <w:pStyle w:val="Affiliation"/>
        <w:rPr>
          <w:rFonts w:eastAsia="MS Mincho"/>
          <w:lang w:val="uk-UA"/>
        </w:rPr>
      </w:pPr>
      <w:r>
        <w:rPr>
          <w:rFonts w:eastAsia="MS Mincho"/>
          <w:lang w:val="uk-UA"/>
        </w:rPr>
        <w:t>КПІ ім. Ігоря Сікорського</w:t>
      </w:r>
    </w:p>
    <w:p w14:paraId="7993112A" w14:textId="1F781DBF" w:rsidR="008A55B5" w:rsidRPr="00562D24" w:rsidRDefault="00C62F96" w:rsidP="00182610">
      <w:pPr>
        <w:pStyle w:val="Affiliation"/>
        <w:rPr>
          <w:rFonts w:eastAsia="MS Mincho"/>
          <w:lang w:val="uk-UA"/>
        </w:rPr>
      </w:pPr>
      <w:r>
        <w:rPr>
          <w:rFonts w:eastAsia="MS Mincho"/>
          <w:lang w:val="uk-UA"/>
        </w:rPr>
        <w:t>Київ</w:t>
      </w:r>
      <w:r w:rsidR="00123D6D" w:rsidRPr="00562D24">
        <w:rPr>
          <w:rFonts w:eastAsia="MS Mincho"/>
          <w:lang w:val="uk-UA"/>
        </w:rPr>
        <w:t xml:space="preserve">, </w:t>
      </w:r>
      <w:r>
        <w:rPr>
          <w:rFonts w:eastAsia="MS Mincho"/>
          <w:lang w:val="uk-UA"/>
        </w:rPr>
        <w:t>Україна</w:t>
      </w:r>
    </w:p>
    <w:p w14:paraId="1A0660C9" w14:textId="285D71CC" w:rsidR="008A55B5" w:rsidRPr="00C62F96" w:rsidRDefault="00C62F96" w:rsidP="00182610">
      <w:pPr>
        <w:pStyle w:val="Affiliation"/>
        <w:rPr>
          <w:rFonts w:eastAsia="MS Mincho"/>
          <w:lang w:val="uk-UA"/>
        </w:rPr>
      </w:pPr>
      <w:proofErr w:type="spellStart"/>
      <w:r>
        <w:rPr>
          <w:rFonts w:eastAsia="MS Mincho"/>
        </w:rPr>
        <w:t>dmytro</w:t>
      </w:r>
      <w:proofErr w:type="spellEnd"/>
      <w:r w:rsidRPr="00C62F96">
        <w:rPr>
          <w:rFonts w:eastAsia="MS Mincho"/>
          <w:lang w:val="uk-UA"/>
        </w:rPr>
        <w:t>.</w:t>
      </w:r>
      <w:proofErr w:type="spellStart"/>
      <w:r>
        <w:rPr>
          <w:rFonts w:eastAsia="MS Mincho"/>
        </w:rPr>
        <w:t>halushko</w:t>
      </w:r>
      <w:proofErr w:type="spellEnd"/>
      <w:r w:rsidRPr="00C62F96">
        <w:rPr>
          <w:rFonts w:eastAsia="MS Mincho"/>
          <w:lang w:val="uk-UA"/>
        </w:rPr>
        <w:t>@</w:t>
      </w:r>
      <w:proofErr w:type="spellStart"/>
      <w:r>
        <w:rPr>
          <w:rFonts w:eastAsia="MS Mincho"/>
        </w:rPr>
        <w:t>lll</w:t>
      </w:r>
      <w:proofErr w:type="spellEnd"/>
      <w:r w:rsidRPr="00C62F96">
        <w:rPr>
          <w:rFonts w:eastAsia="MS Mincho"/>
          <w:lang w:val="uk-UA"/>
        </w:rPr>
        <w:t>.</w:t>
      </w:r>
      <w:proofErr w:type="spellStart"/>
      <w:r>
        <w:rPr>
          <w:rFonts w:eastAsia="MS Mincho"/>
        </w:rPr>
        <w:t>kpi</w:t>
      </w:r>
      <w:proofErr w:type="spellEnd"/>
      <w:r w:rsidRPr="00C62F96">
        <w:rPr>
          <w:rFonts w:eastAsia="MS Mincho"/>
          <w:lang w:val="uk-UA"/>
        </w:rPr>
        <w:t>.</w:t>
      </w:r>
      <w:proofErr w:type="spellStart"/>
      <w:r>
        <w:rPr>
          <w:rFonts w:eastAsia="MS Mincho"/>
        </w:rPr>
        <w:t>ua</w:t>
      </w:r>
      <w:proofErr w:type="spellEnd"/>
    </w:p>
    <w:p w14:paraId="2896AFA3" w14:textId="413D5EDE" w:rsidR="0056310A" w:rsidRDefault="0056310A" w:rsidP="00182610">
      <w:pPr>
        <w:pStyle w:val="Affiliation"/>
        <w:rPr>
          <w:rFonts w:eastAsia="MS Mincho"/>
        </w:rPr>
      </w:pPr>
    </w:p>
    <w:p w14:paraId="7BF7CBF1" w14:textId="77777777" w:rsidR="00C62F96" w:rsidRDefault="00C62F96" w:rsidP="00182610">
      <w:pPr>
        <w:pStyle w:val="Affiliation"/>
        <w:rPr>
          <w:rFonts w:eastAsia="MS Mincho"/>
        </w:rPr>
      </w:pPr>
    </w:p>
    <w:p w14:paraId="01CDE917" w14:textId="77777777" w:rsidR="00C62F96" w:rsidRDefault="00C62F96" w:rsidP="00182610">
      <w:pPr>
        <w:pStyle w:val="Affiliation"/>
        <w:rPr>
          <w:rFonts w:eastAsia="MS Mincho"/>
        </w:rPr>
      </w:pPr>
    </w:p>
    <w:p w14:paraId="19817E5A" w14:textId="77777777" w:rsidR="00C62F96" w:rsidRDefault="00C62F96" w:rsidP="00182610">
      <w:pPr>
        <w:pStyle w:val="Affiliation"/>
        <w:rPr>
          <w:rFonts w:eastAsia="MS Mincho"/>
        </w:rPr>
      </w:pPr>
    </w:p>
    <w:p w14:paraId="7CC440FC" w14:textId="77777777" w:rsidR="00C62F96" w:rsidRDefault="00C62F96" w:rsidP="00182610">
      <w:pPr>
        <w:pStyle w:val="Affiliation"/>
        <w:rPr>
          <w:rFonts w:eastAsia="MS Mincho"/>
        </w:rPr>
      </w:pPr>
    </w:p>
    <w:p w14:paraId="1E221717" w14:textId="77777777" w:rsidR="00C62F96" w:rsidRDefault="00C62F96" w:rsidP="00182610">
      <w:pPr>
        <w:pStyle w:val="Affiliation"/>
        <w:rPr>
          <w:rFonts w:eastAsia="MS Mincho"/>
        </w:rPr>
      </w:pPr>
    </w:p>
    <w:p w14:paraId="535850C4" w14:textId="77777777" w:rsidR="00C62F96" w:rsidRPr="00C62F96" w:rsidRDefault="00C62F96" w:rsidP="00182610">
      <w:pPr>
        <w:pStyle w:val="Affiliation"/>
        <w:rPr>
          <w:rFonts w:eastAsia="MS Mincho"/>
        </w:rPr>
      </w:pPr>
    </w:p>
    <w:p w14:paraId="37DCDB7A" w14:textId="77777777" w:rsidR="008A55B5" w:rsidRPr="00562D24" w:rsidRDefault="008A55B5" w:rsidP="00182610">
      <w:pPr>
        <w:pStyle w:val="Affiliation"/>
        <w:rPr>
          <w:rFonts w:eastAsia="MS Mincho"/>
          <w:lang w:val="uk-UA"/>
        </w:rPr>
        <w:sectPr w:rsidR="008A55B5" w:rsidRPr="00562D24" w:rsidSect="006C4648">
          <w:type w:val="continuous"/>
          <w:pgSz w:w="11909" w:h="16834" w:code="9"/>
          <w:pgMar w:top="1080" w:right="734" w:bottom="2434" w:left="734" w:header="720" w:footer="720" w:gutter="0"/>
          <w:cols w:num="2" w:space="720" w:equalWidth="0">
            <w:col w:w="4860" w:space="720"/>
            <w:col w:w="4860"/>
          </w:cols>
          <w:docGrid w:linePitch="360"/>
        </w:sectPr>
      </w:pPr>
    </w:p>
    <w:p w14:paraId="2EDCBA4D" w14:textId="77777777" w:rsidR="008A55B5" w:rsidRPr="00562D24" w:rsidRDefault="008A55B5" w:rsidP="00182610">
      <w:pPr>
        <w:rPr>
          <w:rFonts w:eastAsia="MS Mincho"/>
          <w:lang w:val="uk-UA"/>
        </w:rPr>
        <w:sectPr w:rsidR="008A55B5" w:rsidRPr="00562D24" w:rsidSect="006C4648">
          <w:type w:val="continuous"/>
          <w:pgSz w:w="11909" w:h="16834" w:code="9"/>
          <w:pgMar w:top="1080" w:right="734" w:bottom="2434" w:left="734" w:header="720" w:footer="720" w:gutter="0"/>
          <w:cols w:space="720"/>
          <w:docGrid w:linePitch="360"/>
        </w:sectPr>
      </w:pPr>
    </w:p>
    <w:p w14:paraId="7CE5F2CD" w14:textId="31F056FC" w:rsidR="009B1242" w:rsidRPr="009B1242" w:rsidRDefault="00123D6D" w:rsidP="009B1242">
      <w:pPr>
        <w:rPr>
          <w:rFonts w:eastAsia="MS Mincho"/>
          <w:b/>
          <w:bCs/>
          <w:i/>
          <w:iCs/>
          <w:sz w:val="18"/>
          <w:szCs w:val="18"/>
          <w:lang w:val="uk-UA"/>
        </w:rPr>
      </w:pPr>
      <w:r w:rsidRPr="009B1242">
        <w:rPr>
          <w:rFonts w:eastAsia="MS Mincho"/>
          <w:b/>
          <w:bCs/>
          <w:i/>
          <w:iCs/>
          <w:sz w:val="18"/>
          <w:szCs w:val="18"/>
          <w:lang w:val="uk-UA"/>
        </w:rPr>
        <w:t>Анотаці</w:t>
      </w:r>
      <w:r w:rsidR="0056310A" w:rsidRPr="009B1242">
        <w:rPr>
          <w:rFonts w:eastAsia="MS Mincho"/>
          <w:b/>
          <w:bCs/>
          <w:i/>
          <w:iCs/>
          <w:sz w:val="18"/>
          <w:szCs w:val="18"/>
          <w:lang w:val="uk-UA"/>
        </w:rPr>
        <w:t>я.</w:t>
      </w:r>
      <w:r w:rsidR="00C602B4" w:rsidRPr="009B1242">
        <w:rPr>
          <w:rFonts w:eastAsia="MS Mincho"/>
          <w:b/>
          <w:bCs/>
          <w:i/>
          <w:iCs/>
          <w:sz w:val="18"/>
          <w:szCs w:val="18"/>
          <w:lang w:val="uk-UA"/>
        </w:rPr>
        <w:t xml:space="preserve"> </w:t>
      </w:r>
      <w:r w:rsidR="009B1242" w:rsidRPr="009B1242">
        <w:rPr>
          <w:rFonts w:eastAsia="MS Mincho"/>
          <w:b/>
          <w:bCs/>
          <w:i/>
          <w:iCs/>
          <w:sz w:val="18"/>
          <w:szCs w:val="18"/>
          <w:lang w:val="uk-UA"/>
        </w:rPr>
        <w:t>З</w:t>
      </w:r>
      <w:r w:rsidR="009B1242" w:rsidRPr="009B1242">
        <w:rPr>
          <w:rFonts w:eastAsia="MS Mincho"/>
          <w:b/>
          <w:bCs/>
          <w:i/>
          <w:iCs/>
          <w:sz w:val="18"/>
          <w:szCs w:val="18"/>
          <w:lang w:val="uk-UA"/>
        </w:rPr>
        <w:t xml:space="preserve">апропоновано підхід до кількісної оцінки ризику змін у програмному продукті на основі </w:t>
      </w:r>
      <w:proofErr w:type="spellStart"/>
      <w:r w:rsidR="009B1242" w:rsidRPr="009B1242">
        <w:rPr>
          <w:rFonts w:eastAsia="MS Mincho"/>
          <w:b/>
          <w:bCs/>
          <w:i/>
          <w:iCs/>
          <w:sz w:val="18"/>
          <w:szCs w:val="18"/>
          <w:lang w:val="uk-UA"/>
        </w:rPr>
        <w:t>графового</w:t>
      </w:r>
      <w:proofErr w:type="spellEnd"/>
      <w:r w:rsidR="009B1242" w:rsidRPr="009B1242">
        <w:rPr>
          <w:rFonts w:eastAsia="MS Mincho"/>
          <w:b/>
          <w:bCs/>
          <w:i/>
          <w:iCs/>
          <w:sz w:val="18"/>
          <w:szCs w:val="18"/>
          <w:lang w:val="uk-UA"/>
        </w:rPr>
        <w:t xml:space="preserve"> представлення його структури. Пропонується алгоритм порівняння двох версій </w:t>
      </w:r>
      <w:proofErr w:type="spellStart"/>
      <w:r w:rsidR="009B1242" w:rsidRPr="009B1242">
        <w:rPr>
          <w:rFonts w:eastAsia="MS Mincho"/>
          <w:b/>
          <w:bCs/>
          <w:i/>
          <w:iCs/>
          <w:sz w:val="18"/>
          <w:szCs w:val="18"/>
          <w:lang w:val="uk-UA"/>
        </w:rPr>
        <w:t>графової</w:t>
      </w:r>
      <w:proofErr w:type="spellEnd"/>
      <w:r w:rsidR="009B1242" w:rsidRPr="009B1242">
        <w:rPr>
          <w:rFonts w:eastAsia="MS Mincho"/>
          <w:b/>
          <w:bCs/>
          <w:i/>
          <w:iCs/>
          <w:sz w:val="18"/>
          <w:szCs w:val="18"/>
          <w:lang w:val="uk-UA"/>
        </w:rPr>
        <w:t xml:space="preserve"> моделі, сформованої з технічної документації. Для кожної вершини нової версії обчислюються три вимірювані показники якості </w:t>
      </w:r>
      <w:r w:rsidR="009B1242" w:rsidRPr="009B1242">
        <w:rPr>
          <w:rFonts w:eastAsia="MS Mincho"/>
          <w:b/>
          <w:bCs/>
          <w:i/>
          <w:iCs/>
          <w:sz w:val="18"/>
          <w:szCs w:val="18"/>
          <w:lang w:val="uk-UA"/>
        </w:rPr>
        <w:t xml:space="preserve">– </w:t>
      </w:r>
      <w:r w:rsidR="009B1242" w:rsidRPr="009B1242">
        <w:rPr>
          <w:rFonts w:eastAsia="MS Mincho"/>
          <w:b/>
          <w:bCs/>
          <w:i/>
          <w:iCs/>
          <w:sz w:val="18"/>
          <w:szCs w:val="18"/>
          <w:lang w:val="uk-UA"/>
        </w:rPr>
        <w:t xml:space="preserve"> ефективність продуктивності, надійність, </w:t>
      </w:r>
      <w:proofErr w:type="spellStart"/>
      <w:r w:rsidR="009B1242" w:rsidRPr="009B1242">
        <w:rPr>
          <w:rFonts w:eastAsia="MS Mincho"/>
          <w:b/>
          <w:bCs/>
          <w:i/>
          <w:iCs/>
          <w:sz w:val="18"/>
          <w:szCs w:val="18"/>
          <w:lang w:val="uk-UA"/>
        </w:rPr>
        <w:t>підтримуваність</w:t>
      </w:r>
      <w:proofErr w:type="spellEnd"/>
      <w:r w:rsidR="009B1242" w:rsidRPr="009B1242">
        <w:rPr>
          <w:rFonts w:eastAsia="MS Mincho"/>
          <w:b/>
          <w:bCs/>
          <w:i/>
          <w:iCs/>
          <w:sz w:val="18"/>
          <w:szCs w:val="18"/>
          <w:lang w:val="uk-UA"/>
        </w:rPr>
        <w:t xml:space="preserve">. Згортання цих показників із топологічними та історичними характеристиками утворює інтегральний індекс ризику, який </w:t>
      </w:r>
      <w:proofErr w:type="spellStart"/>
      <w:r w:rsidR="009B1242" w:rsidRPr="009B1242">
        <w:rPr>
          <w:rFonts w:eastAsia="MS Mincho"/>
          <w:b/>
          <w:bCs/>
          <w:i/>
          <w:iCs/>
          <w:sz w:val="18"/>
          <w:szCs w:val="18"/>
          <w:lang w:val="uk-UA"/>
        </w:rPr>
        <w:t>ранжує</w:t>
      </w:r>
      <w:proofErr w:type="spellEnd"/>
      <w:r w:rsidR="009B1242" w:rsidRPr="009B1242">
        <w:rPr>
          <w:rFonts w:eastAsia="MS Mincho"/>
          <w:b/>
          <w:bCs/>
          <w:i/>
          <w:iCs/>
          <w:sz w:val="18"/>
          <w:szCs w:val="18"/>
          <w:lang w:val="uk-UA"/>
        </w:rPr>
        <w:t xml:space="preserve"> змінені компоненти. Індекс може використовуватись у CI/CD</w:t>
      </w:r>
      <w:r w:rsidR="009B1242" w:rsidRPr="009B1242">
        <w:rPr>
          <w:rFonts w:eastAsia="MS Mincho"/>
          <w:b/>
          <w:bCs/>
          <w:i/>
          <w:iCs/>
          <w:sz w:val="18"/>
          <w:szCs w:val="18"/>
          <w:lang w:val="uk-UA"/>
        </w:rPr>
        <w:noBreakHyphen/>
        <w:t>конвеєрі, плануванні тестування та управлінні технічним боргом без залучення статичного аналізу коду.</w:t>
      </w:r>
    </w:p>
    <w:p w14:paraId="180C61BB" w14:textId="565CBE24" w:rsidR="007B349C" w:rsidRPr="00562D24" w:rsidRDefault="007B349C" w:rsidP="007B349C">
      <w:pPr>
        <w:pStyle w:val="1"/>
        <w:spacing w:before="120" w:after="0"/>
        <w:jc w:val="both"/>
        <w:rPr>
          <w:rFonts w:ascii="Times New Roman" w:eastAsia="MS Mincho" w:hAnsi="Times New Roman"/>
          <w:i/>
          <w:iCs/>
          <w:noProof/>
          <w:kern w:val="0"/>
          <w:sz w:val="18"/>
          <w:szCs w:val="18"/>
          <w:lang w:val="uk-UA" w:eastAsia="en-US"/>
        </w:rPr>
      </w:pPr>
      <w:r w:rsidRPr="00562D24">
        <w:rPr>
          <w:rFonts w:ascii="Times New Roman" w:eastAsia="MS Mincho" w:hAnsi="Times New Roman"/>
          <w:i/>
          <w:iCs/>
          <w:noProof/>
          <w:kern w:val="0"/>
          <w:sz w:val="18"/>
          <w:szCs w:val="18"/>
          <w:lang w:val="uk-UA" w:eastAsia="en-US"/>
        </w:rPr>
        <w:t xml:space="preserve">Ключові слова: </w:t>
      </w:r>
      <w:r w:rsidR="00982796">
        <w:rPr>
          <w:rFonts w:ascii="Times New Roman" w:eastAsia="MS Mincho" w:hAnsi="Times New Roman"/>
          <w:i/>
          <w:iCs/>
          <w:noProof/>
          <w:kern w:val="0"/>
          <w:sz w:val="18"/>
          <w:szCs w:val="18"/>
          <w:lang w:val="uk-UA" w:eastAsia="en-US"/>
        </w:rPr>
        <w:t xml:space="preserve">якість програмного продукту, </w:t>
      </w:r>
      <w:r w:rsidR="00982796" w:rsidRPr="00982796">
        <w:rPr>
          <w:rFonts w:ascii="Times New Roman" w:eastAsia="MS Mincho" w:hAnsi="Times New Roman"/>
          <w:i/>
          <w:iCs/>
          <w:noProof/>
          <w:kern w:val="0"/>
          <w:sz w:val="18"/>
          <w:szCs w:val="18"/>
          <w:lang w:val="ru-RU" w:eastAsia="en-US"/>
        </w:rPr>
        <w:t>інформаційні послуги, інформаційні системи та технології</w:t>
      </w:r>
      <w:r w:rsidRPr="00562D24">
        <w:rPr>
          <w:rFonts w:ascii="Times New Roman" w:eastAsia="MS Mincho" w:hAnsi="Times New Roman"/>
          <w:i/>
          <w:iCs/>
          <w:noProof/>
          <w:kern w:val="0"/>
          <w:sz w:val="18"/>
          <w:szCs w:val="18"/>
          <w:lang w:val="uk-UA" w:eastAsia="en-US"/>
        </w:rPr>
        <w:t>.</w:t>
      </w:r>
    </w:p>
    <w:p w14:paraId="2E0DF224" w14:textId="77777777" w:rsidR="00211EE1" w:rsidRPr="00562D24" w:rsidRDefault="00211EE1" w:rsidP="00211EE1">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Вступ</w:t>
      </w:r>
    </w:p>
    <w:p w14:paraId="47543C2A" w14:textId="422CF4A0" w:rsidR="004F71BF" w:rsidRPr="004F71BF" w:rsidRDefault="004F71BF" w:rsidP="004F71BF">
      <w:pPr>
        <w:pStyle w:val="a3"/>
        <w:ind w:firstLine="284"/>
        <w:rPr>
          <w:lang w:val="uk-UA"/>
        </w:rPr>
      </w:pPr>
      <w:r w:rsidRPr="004F71BF">
        <w:rPr>
          <w:lang w:val="uk-UA"/>
        </w:rPr>
        <w:t>Про</w:t>
      </w:r>
      <w:r w:rsidR="004C27C0">
        <w:rPr>
          <w:lang w:val="uk-UA"/>
        </w:rPr>
        <w:t xml:space="preserve">дуктові компанії, що виробляють програмний продукт </w:t>
      </w:r>
      <w:r w:rsidRPr="004F71BF">
        <w:rPr>
          <w:lang w:val="uk-UA"/>
        </w:rPr>
        <w:t xml:space="preserve">одночасно підтримують десятки взаємозалежних продуктів, що постійно модифікуються під тиском ринку, регуляторних вимог і динаміки інфраструктури. </w:t>
      </w:r>
      <w:r w:rsidR="004C27C0">
        <w:rPr>
          <w:lang w:val="uk-UA"/>
        </w:rPr>
        <w:t xml:space="preserve">Це змушує їх враховувати ризики введення нових змін ще під час проектування. </w:t>
      </w:r>
      <w:r w:rsidRPr="004F71BF">
        <w:rPr>
          <w:lang w:val="uk-UA"/>
        </w:rPr>
        <w:t>У роботі [1] запропоновано гібридну NLP/</w:t>
      </w:r>
      <w:proofErr w:type="spellStart"/>
      <w:r w:rsidRPr="004F71BF">
        <w:rPr>
          <w:lang w:val="uk-UA"/>
        </w:rPr>
        <w:t>HeteroGNN</w:t>
      </w:r>
      <w:proofErr w:type="spellEnd"/>
      <w:r w:rsidRPr="004F71BF">
        <w:rPr>
          <w:lang w:val="uk-UA"/>
        </w:rPr>
        <w:t xml:space="preserve">‑систему, яка автоматично </w:t>
      </w:r>
      <w:r w:rsidR="00946ADE">
        <w:rPr>
          <w:lang w:val="uk-UA"/>
        </w:rPr>
        <w:t>конвертує</w:t>
      </w:r>
      <w:r w:rsidRPr="004F71BF">
        <w:rPr>
          <w:lang w:val="uk-UA"/>
        </w:rPr>
        <w:t xml:space="preserve"> </w:t>
      </w:r>
      <w:r w:rsidR="00946ADE">
        <w:rPr>
          <w:lang w:val="uk-UA"/>
        </w:rPr>
        <w:t>технічну</w:t>
      </w:r>
      <w:r w:rsidRPr="004F71BF">
        <w:rPr>
          <w:lang w:val="uk-UA"/>
        </w:rPr>
        <w:t xml:space="preserve"> документацію</w:t>
      </w:r>
      <w:r w:rsidR="004C27C0">
        <w:rPr>
          <w:lang w:val="uk-UA"/>
        </w:rPr>
        <w:t xml:space="preserve"> </w:t>
      </w:r>
      <w:r w:rsidR="00946ADE">
        <w:rPr>
          <w:lang w:val="uk-UA"/>
        </w:rPr>
        <w:t xml:space="preserve">до програмного продукту </w:t>
      </w:r>
      <w:r w:rsidR="004C27C0">
        <w:rPr>
          <w:lang w:val="uk-UA"/>
        </w:rPr>
        <w:t>у</w:t>
      </w:r>
      <w:r w:rsidRPr="004F71BF">
        <w:rPr>
          <w:lang w:val="uk-UA"/>
        </w:rPr>
        <w:t xml:space="preserve"> графи дій з метою виявлення </w:t>
      </w:r>
      <w:r w:rsidR="004C27C0">
        <w:rPr>
          <w:lang w:val="uk-UA"/>
        </w:rPr>
        <w:t xml:space="preserve">ризикованих місць у імплементації для </w:t>
      </w:r>
      <w:r w:rsidR="004C27C0">
        <w:rPr>
          <w:lang w:val="uk-UA"/>
        </w:rPr>
        <w:t>подальшого, більш детального їх тестування</w:t>
      </w:r>
      <w:r w:rsidRPr="004F71BF">
        <w:rPr>
          <w:lang w:val="uk-UA"/>
        </w:rPr>
        <w:t>. Результати довели, що так</w:t>
      </w:r>
      <w:r w:rsidR="004C27C0">
        <w:rPr>
          <w:lang w:val="uk-UA"/>
        </w:rPr>
        <w:t>ий підхід</w:t>
      </w:r>
      <w:r w:rsidRPr="004F71BF">
        <w:rPr>
          <w:lang w:val="uk-UA"/>
        </w:rPr>
        <w:t xml:space="preserve"> зменшує ручну працю та </w:t>
      </w:r>
      <w:r w:rsidR="00946ADE">
        <w:rPr>
          <w:lang w:val="uk-UA"/>
        </w:rPr>
        <w:t xml:space="preserve">дозволяє </w:t>
      </w:r>
      <w:r w:rsidRPr="004F71BF">
        <w:rPr>
          <w:lang w:val="uk-UA"/>
        </w:rPr>
        <w:t>пришвидш</w:t>
      </w:r>
      <w:r w:rsidR="00946ADE">
        <w:rPr>
          <w:lang w:val="uk-UA"/>
        </w:rPr>
        <w:t>ити</w:t>
      </w:r>
      <w:r w:rsidRPr="004F71BF">
        <w:rPr>
          <w:lang w:val="uk-UA"/>
        </w:rPr>
        <w:t xml:space="preserve"> вихід релізів.</w:t>
      </w:r>
    </w:p>
    <w:p w14:paraId="7A1ECF13" w14:textId="0AE66836" w:rsidR="00946ADE" w:rsidRDefault="004F71BF" w:rsidP="00946ADE">
      <w:pPr>
        <w:pStyle w:val="a3"/>
        <w:ind w:firstLine="284"/>
        <w:rPr>
          <w:lang w:val="uk-UA"/>
        </w:rPr>
      </w:pPr>
      <w:r w:rsidRPr="004F71BF">
        <w:rPr>
          <w:lang w:val="uk-UA"/>
        </w:rPr>
        <w:t>Попри це, проблематика кількісної оцінки ризику при внесенні змін у вже побудовані графи дій залишилася відкритою.</w:t>
      </w:r>
      <w:r w:rsidR="004C27C0">
        <w:rPr>
          <w:lang w:val="uk-UA"/>
        </w:rPr>
        <w:t xml:space="preserve"> Компанії</w:t>
      </w:r>
      <w:r w:rsidRPr="004F71BF">
        <w:rPr>
          <w:lang w:val="uk-UA"/>
        </w:rPr>
        <w:t xml:space="preserve"> здебільшого покладалися на експертні </w:t>
      </w:r>
      <w:r w:rsidR="004C27C0">
        <w:rPr>
          <w:lang w:val="uk-UA"/>
        </w:rPr>
        <w:t>оцінки</w:t>
      </w:r>
      <w:r w:rsidRPr="004F71BF">
        <w:rPr>
          <w:lang w:val="uk-UA"/>
        </w:rPr>
        <w:t xml:space="preserve"> або високовартісні статичні аналізатори коду, що не завжди доступно для </w:t>
      </w:r>
      <w:proofErr w:type="spellStart"/>
      <w:r w:rsidRPr="004F71BF">
        <w:rPr>
          <w:lang w:val="uk-UA"/>
        </w:rPr>
        <w:t>мікросервісних</w:t>
      </w:r>
      <w:proofErr w:type="spellEnd"/>
      <w:r w:rsidRPr="004F71BF">
        <w:rPr>
          <w:lang w:val="uk-UA"/>
        </w:rPr>
        <w:t xml:space="preserve"> середовищ із різнорідними технологічними стеками. У цій роботі </w:t>
      </w:r>
      <w:r w:rsidR="004C27C0">
        <w:rPr>
          <w:lang w:val="uk-UA"/>
        </w:rPr>
        <w:t>запропоновано</w:t>
      </w:r>
      <w:r w:rsidRPr="004F71BF">
        <w:rPr>
          <w:lang w:val="uk-UA"/>
        </w:rPr>
        <w:t xml:space="preserve"> граф‑орієнтований метод визначення та вимірювання ризиків змін </w:t>
      </w:r>
      <w:r w:rsidR="004C27C0">
        <w:rPr>
          <w:lang w:val="uk-UA"/>
        </w:rPr>
        <w:t xml:space="preserve">у продукті </w:t>
      </w:r>
      <w:r w:rsidRPr="004F71BF">
        <w:rPr>
          <w:lang w:val="uk-UA"/>
        </w:rPr>
        <w:t xml:space="preserve">на основі відомостей лише про структуру графа </w:t>
      </w:r>
      <w:r w:rsidR="004C27C0">
        <w:rPr>
          <w:lang w:val="uk-UA"/>
        </w:rPr>
        <w:t xml:space="preserve">дій, що побудований на основі документації до продукту, та </w:t>
      </w:r>
      <w:r w:rsidRPr="004F71BF">
        <w:rPr>
          <w:lang w:val="uk-UA"/>
        </w:rPr>
        <w:t>метрик</w:t>
      </w:r>
      <w:r w:rsidR="004C27C0">
        <w:rPr>
          <w:lang w:val="uk-UA"/>
        </w:rPr>
        <w:t>ах</w:t>
      </w:r>
      <w:r w:rsidRPr="004F71BF">
        <w:rPr>
          <w:lang w:val="uk-UA"/>
        </w:rPr>
        <w:t xml:space="preserve"> моніторингу</w:t>
      </w:r>
      <w:r w:rsidR="004C27C0">
        <w:rPr>
          <w:lang w:val="uk-UA"/>
        </w:rPr>
        <w:t xml:space="preserve"> роботи продукту</w:t>
      </w:r>
      <w:r w:rsidRPr="004F71BF">
        <w:rPr>
          <w:lang w:val="uk-UA"/>
        </w:rPr>
        <w:t>. Використовуючи диференційний аналіз двох версій графу дій та підмножину об’єктивно вимірюваних характеристик</w:t>
      </w:r>
      <w:r w:rsidR="00283773">
        <w:rPr>
          <w:lang w:val="uk-UA"/>
        </w:rPr>
        <w:t>, що описані в стандарті вимог до якості си</w:t>
      </w:r>
      <w:r w:rsidR="00946ADE">
        <w:rPr>
          <w:lang w:val="uk-UA"/>
        </w:rPr>
        <w:t xml:space="preserve">стем і програмних продуктів </w:t>
      </w:r>
      <w:r w:rsidR="00946ADE" w:rsidRPr="00946ADE">
        <w:rPr>
          <w:lang w:val="uk-UA"/>
        </w:rPr>
        <w:t>ДСТУ ISO/ІЕС 25010:2016</w:t>
      </w:r>
      <w:r w:rsidRPr="004F71BF">
        <w:rPr>
          <w:lang w:val="uk-UA"/>
        </w:rPr>
        <w:t xml:space="preserve"> ISO/IEC 25010 </w:t>
      </w:r>
      <w:r w:rsidR="004C27C0" w:rsidRPr="004C27C0">
        <w:rPr>
          <w:lang w:val="uk-UA"/>
        </w:rPr>
        <w:t>[2]</w:t>
      </w:r>
      <w:r w:rsidR="004C27C0">
        <w:rPr>
          <w:lang w:val="uk-UA"/>
        </w:rPr>
        <w:t xml:space="preserve"> </w:t>
      </w:r>
      <w:r w:rsidR="00283773">
        <w:rPr>
          <w:lang w:val="uk-UA"/>
        </w:rPr>
        <w:t>(</w:t>
      </w:r>
      <w:r w:rsidR="00946ADE" w:rsidRPr="00946ADE">
        <w:rPr>
          <w:lang w:val="uk-UA"/>
        </w:rPr>
        <w:t>https://online.budstandart.com/ua/catalog/doc-page?id_doc=69134</w:t>
      </w:r>
      <w:r w:rsidR="00283773">
        <w:rPr>
          <w:lang w:val="uk-UA"/>
        </w:rPr>
        <w:t xml:space="preserve">) </w:t>
      </w:r>
      <w:r w:rsidR="004C27C0">
        <w:rPr>
          <w:lang w:val="uk-UA"/>
        </w:rPr>
        <w:t>запропоновано метод, що</w:t>
      </w:r>
      <w:r w:rsidRPr="004F71BF">
        <w:rPr>
          <w:lang w:val="uk-UA"/>
        </w:rPr>
        <w:t xml:space="preserve"> дозволяє автоматично локалізувати </w:t>
      </w:r>
      <w:r w:rsidR="004C27C0">
        <w:rPr>
          <w:lang w:val="uk-UA"/>
        </w:rPr>
        <w:t>ризиковані зміни</w:t>
      </w:r>
      <w:r w:rsidRPr="004F71BF">
        <w:rPr>
          <w:lang w:val="uk-UA"/>
        </w:rPr>
        <w:t>, які потребують пріоритетного тестування</w:t>
      </w:r>
      <w:r w:rsidR="004C27C0">
        <w:rPr>
          <w:lang w:val="uk-UA"/>
        </w:rPr>
        <w:t xml:space="preserve"> </w:t>
      </w:r>
      <w:r w:rsidR="00946ADE">
        <w:rPr>
          <w:lang w:val="uk-UA"/>
        </w:rPr>
        <w:t>та</w:t>
      </w:r>
      <w:r w:rsidR="004C27C0">
        <w:rPr>
          <w:lang w:val="uk-UA"/>
        </w:rPr>
        <w:t xml:space="preserve"> д</w:t>
      </w:r>
      <w:r w:rsidR="00946ADE">
        <w:rPr>
          <w:lang w:val="uk-UA"/>
        </w:rPr>
        <w:t>е</w:t>
      </w:r>
      <w:r w:rsidR="004C27C0">
        <w:rPr>
          <w:lang w:val="uk-UA"/>
        </w:rPr>
        <w:t>тального проектування</w:t>
      </w:r>
      <w:r w:rsidR="00946ADE">
        <w:rPr>
          <w:lang w:val="uk-UA"/>
        </w:rPr>
        <w:t>. Це дозволить</w:t>
      </w:r>
      <w:r w:rsidRPr="004F71BF">
        <w:rPr>
          <w:lang w:val="uk-UA"/>
        </w:rPr>
        <w:t xml:space="preserve"> мінімізувати ймовірність введення дефектів у </w:t>
      </w:r>
      <w:r w:rsidRPr="004F71BF">
        <w:rPr>
          <w:lang w:val="uk-UA"/>
        </w:rPr>
        <w:lastRenderedPageBreak/>
        <w:t>продукт</w:t>
      </w:r>
      <w:r w:rsidR="004C27C0">
        <w:rPr>
          <w:lang w:val="uk-UA"/>
        </w:rPr>
        <w:t>ове</w:t>
      </w:r>
      <w:r w:rsidRPr="004F71BF">
        <w:rPr>
          <w:lang w:val="uk-UA"/>
        </w:rPr>
        <w:t xml:space="preserve"> середовище.</w:t>
      </w:r>
      <w:r w:rsidR="00946ADE">
        <w:rPr>
          <w:lang w:val="uk-UA"/>
        </w:rPr>
        <w:t xml:space="preserve"> Дієвість методу роботи підтверджуються проведеними дослідами, що наведені в роботі.</w:t>
      </w:r>
    </w:p>
    <w:p w14:paraId="37AEC563" w14:textId="39C70E8E" w:rsidR="008A55B5" w:rsidRPr="00562D24" w:rsidRDefault="00330FF9" w:rsidP="00121F6A">
      <w:pPr>
        <w:pStyle w:val="1"/>
        <w:spacing w:before="120" w:after="0"/>
        <w:rPr>
          <w:rFonts w:ascii="Times New Roman" w:eastAsia="MS Mincho" w:hAnsi="Times New Roman"/>
          <w:b w:val="0"/>
          <w:smallCaps/>
          <w:sz w:val="20"/>
          <w:szCs w:val="20"/>
          <w:lang w:val="uk-UA"/>
        </w:rPr>
      </w:pPr>
      <w:r>
        <w:rPr>
          <w:rFonts w:ascii="Times New Roman" w:eastAsia="MS Mincho" w:hAnsi="Times New Roman"/>
          <w:b w:val="0"/>
          <w:smallCaps/>
          <w:sz w:val="20"/>
          <w:szCs w:val="20"/>
          <w:lang w:val="uk-UA"/>
        </w:rPr>
        <w:t xml:space="preserve">Сутність </w:t>
      </w:r>
      <w:r w:rsidR="004C2825">
        <w:rPr>
          <w:rFonts w:ascii="Times New Roman" w:eastAsia="MS Mincho" w:hAnsi="Times New Roman"/>
          <w:b w:val="0"/>
          <w:smallCaps/>
          <w:sz w:val="20"/>
          <w:szCs w:val="20"/>
          <w:lang w:val="uk-UA"/>
        </w:rPr>
        <w:t xml:space="preserve">запропонованого </w:t>
      </w:r>
      <w:r>
        <w:rPr>
          <w:rFonts w:ascii="Times New Roman" w:eastAsia="MS Mincho" w:hAnsi="Times New Roman"/>
          <w:b w:val="0"/>
          <w:smallCaps/>
          <w:sz w:val="20"/>
          <w:szCs w:val="20"/>
          <w:lang w:val="uk-UA"/>
        </w:rPr>
        <w:t>методу</w:t>
      </w:r>
    </w:p>
    <w:p w14:paraId="780E2EAA" w14:textId="2489DE34" w:rsidR="002E7582" w:rsidRDefault="00946ADE" w:rsidP="002E7582">
      <w:pPr>
        <w:pStyle w:val="a3"/>
        <w:spacing w:after="0" w:line="240" w:lineRule="auto"/>
        <w:ind w:firstLine="284"/>
        <w:rPr>
          <w:lang w:val="ru-RU"/>
        </w:rPr>
      </w:pPr>
      <w:r>
        <w:rPr>
          <w:lang w:val="uk-UA"/>
        </w:rPr>
        <w:t xml:space="preserve">В роботі </w:t>
      </w:r>
      <w:r w:rsidRPr="00946ADE">
        <w:rPr>
          <w:lang w:val="ru-RU"/>
        </w:rPr>
        <w:t xml:space="preserve">[1] </w:t>
      </w:r>
      <w:r>
        <w:rPr>
          <w:lang w:val="uk-UA"/>
        </w:rPr>
        <w:t xml:space="preserve">запропоновано алгоритм автоматичного перетворення технічної документації до програмного продукту у граф послідовності дій, що треба виконати програмному продукту при запиті від користувача. </w:t>
      </w:r>
      <w:r w:rsidR="00330FF9">
        <w:rPr>
          <w:lang w:val="uk-UA"/>
        </w:rPr>
        <w:t xml:space="preserve">В </w:t>
      </w:r>
      <w:r w:rsidR="004C2825">
        <w:rPr>
          <w:lang w:val="uk-UA"/>
        </w:rPr>
        <w:t>даній</w:t>
      </w:r>
      <w:r w:rsidR="00330FF9">
        <w:rPr>
          <w:lang w:val="uk-UA"/>
        </w:rPr>
        <w:t xml:space="preserve"> роботі запропоновано метод, що </w:t>
      </w:r>
      <w:r w:rsidR="00FE037D">
        <w:rPr>
          <w:lang w:val="uk-UA"/>
        </w:rPr>
        <w:t>р</w:t>
      </w:r>
      <w:r w:rsidR="004C2825">
        <w:rPr>
          <w:lang w:val="uk-UA"/>
        </w:rPr>
        <w:t xml:space="preserve">озширює такий підхід і </w:t>
      </w:r>
      <w:r w:rsidR="00330FF9">
        <w:rPr>
          <w:lang w:val="uk-UA"/>
        </w:rPr>
        <w:t>дозволяє визначати ризиковані зміни до програмного продукту, що потребують посиленої уваги.</w:t>
      </w:r>
      <w:r w:rsidR="002E7582">
        <w:rPr>
          <w:lang w:val="uk-UA"/>
        </w:rPr>
        <w:t xml:space="preserve"> </w:t>
      </w:r>
      <w:r w:rsidR="00330FF9">
        <w:rPr>
          <w:lang w:val="uk-UA"/>
        </w:rPr>
        <w:t>Запропонова</w:t>
      </w:r>
      <w:r w:rsidR="002E7582">
        <w:rPr>
          <w:lang w:val="uk-UA"/>
        </w:rPr>
        <w:t>но</w:t>
      </w:r>
      <w:r w:rsidR="00330FF9">
        <w:rPr>
          <w:lang w:val="uk-UA"/>
        </w:rPr>
        <w:t xml:space="preserve"> метод</w:t>
      </w:r>
      <w:r w:rsidR="002E7582">
        <w:rPr>
          <w:lang w:val="uk-UA"/>
        </w:rPr>
        <w:t>, що базується на</w:t>
      </w:r>
      <w:r w:rsidR="004C2825" w:rsidRPr="004C2825">
        <w:rPr>
          <w:lang w:val="ru-RU"/>
        </w:rPr>
        <w:t xml:space="preserve"> </w:t>
      </w:r>
      <w:proofErr w:type="spellStart"/>
      <w:r w:rsidR="00FE037D">
        <w:rPr>
          <w:lang w:val="ru-RU"/>
        </w:rPr>
        <w:t>аналіз</w:t>
      </w:r>
      <w:r w:rsidR="002E7582">
        <w:rPr>
          <w:lang w:val="ru-RU"/>
        </w:rPr>
        <w:t>і</w:t>
      </w:r>
      <w:proofErr w:type="spellEnd"/>
      <w:r w:rsidR="00FE037D">
        <w:rPr>
          <w:lang w:val="ru-RU"/>
        </w:rPr>
        <w:t xml:space="preserve"> </w:t>
      </w:r>
      <w:proofErr w:type="spellStart"/>
      <w:r w:rsidR="00FE037D">
        <w:rPr>
          <w:lang w:val="ru-RU"/>
        </w:rPr>
        <w:t>зміни</w:t>
      </w:r>
      <w:proofErr w:type="spellEnd"/>
      <w:r w:rsidR="004C2825" w:rsidRPr="004C2825">
        <w:rPr>
          <w:lang w:val="ru-RU"/>
        </w:rPr>
        <w:t xml:space="preserve"> графа </w:t>
      </w:r>
      <w:proofErr w:type="spellStart"/>
      <w:r w:rsidR="00FE037D">
        <w:rPr>
          <w:lang w:val="ru-RU"/>
        </w:rPr>
        <w:t>послідовності</w:t>
      </w:r>
      <w:proofErr w:type="spellEnd"/>
      <w:r w:rsidR="00FE037D">
        <w:rPr>
          <w:lang w:val="ru-RU"/>
        </w:rPr>
        <w:t xml:space="preserve"> </w:t>
      </w:r>
      <w:proofErr w:type="spellStart"/>
      <w:r w:rsidR="004C2825" w:rsidRPr="004C2825">
        <w:rPr>
          <w:lang w:val="ru-RU"/>
        </w:rPr>
        <w:t>дій</w:t>
      </w:r>
      <w:proofErr w:type="spellEnd"/>
      <w:r w:rsidR="004C2825" w:rsidRPr="004C2825">
        <w:rPr>
          <w:lang w:val="ru-RU"/>
        </w:rPr>
        <w:t xml:space="preserve"> </w:t>
      </w:r>
      <w:proofErr w:type="spellStart"/>
      <w:r w:rsidR="004C2825" w:rsidRPr="004C2825">
        <w:rPr>
          <w:lang w:val="ru-RU"/>
        </w:rPr>
        <w:t>програмного</w:t>
      </w:r>
      <w:proofErr w:type="spellEnd"/>
      <w:r w:rsidR="004C2825" w:rsidRPr="004C2825">
        <w:rPr>
          <w:lang w:val="ru-RU"/>
        </w:rPr>
        <w:t xml:space="preserve"> продукту</w:t>
      </w:r>
      <w:r w:rsidR="002E7582">
        <w:rPr>
          <w:lang w:val="ru-RU"/>
        </w:rPr>
        <w:t xml:space="preserve"> та метриках </w:t>
      </w:r>
      <w:proofErr w:type="spellStart"/>
      <w:r w:rsidR="002E7582">
        <w:rPr>
          <w:lang w:val="ru-RU"/>
        </w:rPr>
        <w:t>моніторингу</w:t>
      </w:r>
      <w:proofErr w:type="spellEnd"/>
      <w:r w:rsidR="002E7582">
        <w:rPr>
          <w:lang w:val="ru-RU"/>
        </w:rPr>
        <w:t xml:space="preserve"> </w:t>
      </w:r>
      <w:r w:rsidR="00A872E2">
        <w:rPr>
          <w:lang w:val="uk-UA"/>
        </w:rPr>
        <w:t xml:space="preserve">його </w:t>
      </w:r>
      <w:proofErr w:type="spellStart"/>
      <w:r w:rsidR="002E7582">
        <w:rPr>
          <w:lang w:val="ru-RU"/>
        </w:rPr>
        <w:t>роботи</w:t>
      </w:r>
      <w:proofErr w:type="spellEnd"/>
      <w:r w:rsidR="004C2825" w:rsidRPr="004C2825">
        <w:rPr>
          <w:lang w:val="ru-RU"/>
        </w:rPr>
        <w:t xml:space="preserve">. </w:t>
      </w:r>
    </w:p>
    <w:p w14:paraId="0D317039" w14:textId="1199D1DB" w:rsidR="001F4AA3" w:rsidRPr="00562D24" w:rsidRDefault="004C2825" w:rsidP="009B1242">
      <w:pPr>
        <w:pStyle w:val="a3"/>
        <w:spacing w:after="0" w:line="240" w:lineRule="auto"/>
        <w:ind w:firstLine="284"/>
        <w:rPr>
          <w:lang w:val="uk-UA"/>
        </w:rPr>
      </w:pPr>
      <w:proofErr w:type="spellStart"/>
      <w:r w:rsidRPr="004C2825">
        <w:rPr>
          <w:lang w:val="ru-RU"/>
        </w:rPr>
        <w:t>Початковий</w:t>
      </w:r>
      <w:proofErr w:type="spellEnd"/>
      <w:r w:rsidRPr="004C2825">
        <w:rPr>
          <w:lang w:val="ru-RU"/>
        </w:rPr>
        <w:t xml:space="preserve"> </w:t>
      </w:r>
      <w:proofErr w:type="spellStart"/>
      <w:r w:rsidRPr="004C2825">
        <w:rPr>
          <w:lang w:val="ru-RU"/>
        </w:rPr>
        <w:t>варіант</w:t>
      </w:r>
      <w:proofErr w:type="spellEnd"/>
      <w:r w:rsidRPr="004C2825">
        <w:rPr>
          <w:lang w:val="ru-RU"/>
        </w:rPr>
        <w:t xml:space="preserve"> графа, </w:t>
      </w:r>
      <w:proofErr w:type="spellStart"/>
      <w:r w:rsidRPr="004C2825">
        <w:rPr>
          <w:lang w:val="ru-RU"/>
        </w:rPr>
        <w:t>сформований</w:t>
      </w:r>
      <w:proofErr w:type="spellEnd"/>
      <w:r w:rsidRPr="004C2825">
        <w:rPr>
          <w:lang w:val="ru-RU"/>
        </w:rPr>
        <w:t xml:space="preserve"> </w:t>
      </w:r>
      <w:proofErr w:type="spellStart"/>
      <w:r w:rsidRPr="004C2825">
        <w:rPr>
          <w:lang w:val="ru-RU"/>
        </w:rPr>
        <w:t>із</w:t>
      </w:r>
      <w:proofErr w:type="spellEnd"/>
      <w:r w:rsidRPr="004C2825">
        <w:rPr>
          <w:lang w:val="ru-RU"/>
        </w:rPr>
        <w:t xml:space="preserve"> </w:t>
      </w:r>
      <w:proofErr w:type="spellStart"/>
      <w:r w:rsidRPr="004C2825">
        <w:rPr>
          <w:lang w:val="ru-RU"/>
        </w:rPr>
        <w:t>базової</w:t>
      </w:r>
      <w:proofErr w:type="spellEnd"/>
      <w:r w:rsidRPr="004C2825">
        <w:rPr>
          <w:lang w:val="ru-RU"/>
        </w:rPr>
        <w:t xml:space="preserve"> </w:t>
      </w:r>
      <w:proofErr w:type="spellStart"/>
      <w:r w:rsidRPr="004C2825">
        <w:rPr>
          <w:lang w:val="ru-RU"/>
        </w:rPr>
        <w:t>редакції</w:t>
      </w:r>
      <w:proofErr w:type="spellEnd"/>
      <w:r w:rsidRPr="004C2825">
        <w:rPr>
          <w:lang w:val="ru-RU"/>
        </w:rPr>
        <w:t xml:space="preserve"> </w:t>
      </w:r>
      <w:proofErr w:type="spellStart"/>
      <w:r w:rsidRPr="004C2825">
        <w:rPr>
          <w:lang w:val="ru-RU"/>
        </w:rPr>
        <w:t>технічної</w:t>
      </w:r>
      <w:proofErr w:type="spellEnd"/>
      <w:r w:rsidRPr="004C2825">
        <w:rPr>
          <w:lang w:val="ru-RU"/>
        </w:rPr>
        <w:t xml:space="preserve"> </w:t>
      </w:r>
      <w:proofErr w:type="spellStart"/>
      <w:r w:rsidRPr="004C2825">
        <w:rPr>
          <w:lang w:val="ru-RU"/>
        </w:rPr>
        <w:t>документації</w:t>
      </w:r>
      <w:proofErr w:type="spellEnd"/>
      <w:r w:rsidRPr="004C2825">
        <w:rPr>
          <w:lang w:val="ru-RU"/>
        </w:rPr>
        <w:t xml:space="preserve">, </w:t>
      </w:r>
      <w:proofErr w:type="spellStart"/>
      <w:r w:rsidRPr="004C2825">
        <w:rPr>
          <w:lang w:val="ru-RU"/>
        </w:rPr>
        <w:t>зберігається</w:t>
      </w:r>
      <w:proofErr w:type="spellEnd"/>
      <w:r w:rsidRPr="004C2825">
        <w:rPr>
          <w:lang w:val="ru-RU"/>
        </w:rPr>
        <w:t xml:space="preserve"> як</w:t>
      </w:r>
      <w:r w:rsidR="00FE037D" w:rsidRPr="00FE037D">
        <w:rPr>
          <w:position w:val="-12"/>
          <w:lang w:val="ru-RU"/>
        </w:rPr>
        <w:object w:dxaOrig="1180" w:dyaOrig="340" w14:anchorId="2FFC7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9pt;height:17pt" o:ole="">
            <v:imagedata r:id="rId8" o:title=""/>
          </v:shape>
          <o:OLEObject Type="Embed" ProgID="Equation.DSMT4" ShapeID="_x0000_i1053" DrawAspect="Content" ObjectID="_1808427027" r:id="rId9"/>
        </w:object>
      </w:r>
      <w:r w:rsidRPr="004C2825">
        <w:rPr>
          <w:lang w:val="ru-RU"/>
        </w:rPr>
        <w:t xml:space="preserve"> </w:t>
      </w:r>
      <w:r w:rsidR="00FE037D">
        <w:rPr>
          <w:lang w:val="uk-UA"/>
        </w:rPr>
        <w:t xml:space="preserve">де </w:t>
      </w:r>
      <w:r w:rsidR="00FE037D" w:rsidRPr="000A0415">
        <w:rPr>
          <w:position w:val="-10"/>
        </w:rPr>
        <w:object w:dxaOrig="240" w:dyaOrig="300" w14:anchorId="31ABACF4">
          <v:shape id="_x0000_i1054" type="#_x0000_t75" style="width:12pt;height:15pt" o:ole="">
            <v:imagedata r:id="rId10" o:title=""/>
          </v:shape>
          <o:OLEObject Type="Embed" ProgID="Equation.DSMT4" ShapeID="_x0000_i1054" DrawAspect="Content" ObjectID="_1808427028" r:id="rId11"/>
        </w:object>
      </w:r>
      <w:r w:rsidR="00FE037D">
        <w:rPr>
          <w:lang w:val="uk-UA"/>
        </w:rPr>
        <w:t xml:space="preserve"> – множина вершин початкового графу, а </w:t>
      </w:r>
      <w:r w:rsidR="00FE037D" w:rsidRPr="000A0415">
        <w:rPr>
          <w:position w:val="-10"/>
        </w:rPr>
        <w:object w:dxaOrig="260" w:dyaOrig="300" w14:anchorId="40697F48">
          <v:shape id="_x0000_i1055" type="#_x0000_t75" style="width:13pt;height:15pt" o:ole="">
            <v:imagedata r:id="rId12" o:title=""/>
          </v:shape>
          <o:OLEObject Type="Embed" ProgID="Equation.DSMT4" ShapeID="_x0000_i1055" DrawAspect="Content" ObjectID="_1808427029" r:id="rId13"/>
        </w:object>
      </w:r>
      <w:r w:rsidR="00FE037D">
        <w:rPr>
          <w:lang w:val="uk-UA"/>
        </w:rPr>
        <w:t xml:space="preserve"> – </w:t>
      </w:r>
      <w:r w:rsidR="001F4AA3">
        <w:rPr>
          <w:lang w:val="uk-UA"/>
        </w:rPr>
        <w:t xml:space="preserve">множина </w:t>
      </w:r>
      <w:proofErr w:type="spellStart"/>
      <w:r w:rsidR="001F4AA3">
        <w:rPr>
          <w:lang w:val="uk-UA"/>
        </w:rPr>
        <w:t>ребер</w:t>
      </w:r>
      <w:proofErr w:type="spellEnd"/>
      <w:r w:rsidR="001F4AA3">
        <w:rPr>
          <w:lang w:val="uk-UA"/>
        </w:rPr>
        <w:t xml:space="preserve"> початкового графу. Після змін у</w:t>
      </w:r>
      <w:r w:rsidR="00E12401">
        <w:rPr>
          <w:lang w:val="uk-UA"/>
        </w:rPr>
        <w:t xml:space="preserve"> </w:t>
      </w:r>
      <w:r w:rsidR="001F4AA3">
        <w:rPr>
          <w:lang w:val="uk-UA"/>
        </w:rPr>
        <w:t>технічн</w:t>
      </w:r>
      <w:r w:rsidR="00E12401">
        <w:rPr>
          <w:lang w:val="uk-UA"/>
        </w:rPr>
        <w:t>ій</w:t>
      </w:r>
      <w:r w:rsidR="001F4AA3">
        <w:rPr>
          <w:lang w:val="uk-UA"/>
        </w:rPr>
        <w:t xml:space="preserve"> </w:t>
      </w:r>
      <w:r w:rsidR="00E12401">
        <w:rPr>
          <w:lang w:val="uk-UA"/>
        </w:rPr>
        <w:t>до</w:t>
      </w:r>
      <w:r w:rsidR="001F4AA3">
        <w:rPr>
          <w:lang w:val="uk-UA"/>
        </w:rPr>
        <w:t xml:space="preserve">кументації до проекту </w:t>
      </w:r>
      <w:r w:rsidRPr="001F4AA3">
        <w:rPr>
          <w:lang w:val="uk-UA"/>
        </w:rPr>
        <w:t>генератор сценаріїв синтезує оновлений граф</w:t>
      </w:r>
      <w:r w:rsidR="00FE037D" w:rsidRPr="001F4AA3">
        <w:rPr>
          <w:lang w:val="uk-UA"/>
        </w:rPr>
        <w:t xml:space="preserve"> </w:t>
      </w:r>
      <w:r w:rsidR="001F4AA3" w:rsidRPr="001F4AA3">
        <w:rPr>
          <w:position w:val="-12"/>
          <w:lang w:val="ru-RU"/>
        </w:rPr>
        <w:object w:dxaOrig="1100" w:dyaOrig="340" w14:anchorId="42CF24C9">
          <v:shape id="_x0000_i1059" type="#_x0000_t75" style="width:55pt;height:17pt" o:ole="">
            <v:imagedata r:id="rId14" o:title=""/>
          </v:shape>
          <o:OLEObject Type="Embed" ProgID="Equation.DSMT4" ShapeID="_x0000_i1059" DrawAspect="Content" ObjectID="_1808427030" r:id="rId15"/>
        </w:object>
      </w:r>
    </w:p>
    <w:p w14:paraId="3321B6D9" w14:textId="53B0F1F6" w:rsidR="00FE037D" w:rsidRDefault="002E7582" w:rsidP="00FE037D">
      <w:pPr>
        <w:pStyle w:val="a3"/>
        <w:ind w:firstLine="284"/>
        <w:rPr>
          <w:lang w:val="ru-RU"/>
        </w:rPr>
      </w:pPr>
      <w:r>
        <w:rPr>
          <w:lang w:val="uk-UA"/>
        </w:rPr>
        <w:t xml:space="preserve">Для кожного вузла </w:t>
      </w:r>
      <w:r w:rsidR="00B330BC" w:rsidRPr="00B330BC">
        <w:rPr>
          <w:position w:val="-14"/>
          <w:lang w:val="uk-UA"/>
        </w:rPr>
        <w:object w:dxaOrig="1579" w:dyaOrig="380" w14:anchorId="47A7B13B">
          <v:shape id="_x0000_i1135" type="#_x0000_t75" style="width:79pt;height:19pt" o:ole="">
            <v:imagedata r:id="rId16" o:title=""/>
          </v:shape>
          <o:OLEObject Type="Embed" ProgID="Equation.DSMT4" ShapeID="_x0000_i1135" DrawAspect="Content" ObjectID="_1808427031" r:id="rId17"/>
        </w:object>
      </w:r>
      <w:r w:rsidR="00A56CB1" w:rsidRPr="00F53D3C">
        <w:rPr>
          <w:lang w:val="uk-UA"/>
        </w:rPr>
        <w:t xml:space="preserve"> </w:t>
      </w:r>
      <w:r w:rsidR="00B330BC">
        <w:rPr>
          <w:lang w:val="uk-UA"/>
        </w:rPr>
        <w:t xml:space="preserve">та </w:t>
      </w:r>
      <w:r w:rsidR="00B330BC" w:rsidRPr="00B330BC">
        <w:rPr>
          <w:position w:val="-14"/>
          <w:lang w:val="uk-UA"/>
        </w:rPr>
        <w:object w:dxaOrig="1579" w:dyaOrig="380" w14:anchorId="1DA5EA35">
          <v:shape id="_x0000_i1138" type="#_x0000_t75" style="width:79pt;height:19pt" o:ole="">
            <v:imagedata r:id="rId18" o:title=""/>
          </v:shape>
          <o:OLEObject Type="Embed" ProgID="Equation.DSMT4" ShapeID="_x0000_i1138" DrawAspect="Content" ObjectID="_1808427032" r:id="rId19"/>
        </w:object>
      </w:r>
      <w:r w:rsidR="00A56CB1" w:rsidRPr="00F53D3C">
        <w:rPr>
          <w:lang w:val="uk-UA"/>
        </w:rPr>
        <w:t>обчислюються три нормовані показники якост</w:t>
      </w:r>
      <w:r w:rsidR="00A56CB1">
        <w:rPr>
          <w:lang w:val="uk-UA"/>
        </w:rPr>
        <w:t>і</w:t>
      </w:r>
      <w:r w:rsidR="00B330BC">
        <w:rPr>
          <w:lang w:val="en-US"/>
        </w:rPr>
        <w:t> </w:t>
      </w:r>
      <w:r w:rsidR="00A56CB1" w:rsidRPr="00F53D3C">
        <w:rPr>
          <w:lang w:val="uk-UA"/>
        </w:rPr>
        <w:t>[2]</w:t>
      </w:r>
      <w:r w:rsidR="00F53D3C" w:rsidRPr="00F53D3C">
        <w:rPr>
          <w:lang w:val="uk-UA"/>
        </w:rPr>
        <w:t xml:space="preserve">: </w:t>
      </w:r>
      <w:r w:rsidR="00F53D3C">
        <w:rPr>
          <w:lang w:val="uk-UA"/>
        </w:rPr>
        <w:t>складність операції</w:t>
      </w:r>
      <w:r w:rsidR="00B330BC">
        <w:rPr>
          <w:lang w:val="en-US"/>
        </w:rPr>
        <w:t> </w:t>
      </w:r>
      <w:r w:rsidR="00F53D3C" w:rsidRPr="00F53D3C">
        <w:rPr>
          <w:lang w:val="uk-UA"/>
        </w:rPr>
        <w:t>[3]</w:t>
      </w:r>
      <w:r w:rsidR="00F87AD7">
        <w:rPr>
          <w:lang w:val="uk-UA"/>
        </w:rPr>
        <w:t xml:space="preserve"> (</w:t>
      </w:r>
      <w:r w:rsidR="00F87AD7" w:rsidRPr="00F87AD7">
        <w:rPr>
          <w:lang w:val="uk-UA"/>
        </w:rPr>
        <w:t>https://www.researchgate.net/publication/371764897_Performance_Efficiency_Evaluation_based_on_ISOIEC_250102011_applied_to_a_Case_Study_on_Load_Balance_and_Resilient</w:t>
      </w:r>
      <w:r w:rsidR="00F87AD7">
        <w:rPr>
          <w:lang w:val="uk-UA"/>
        </w:rPr>
        <w:t>)</w:t>
      </w:r>
      <w:r w:rsidR="00F53D3C" w:rsidRPr="00F53D3C">
        <w:rPr>
          <w:lang w:val="uk-UA"/>
        </w:rPr>
        <w:t>, безвідмовність</w:t>
      </w:r>
      <w:r w:rsidR="00B330BC">
        <w:rPr>
          <w:lang w:val="en-US"/>
        </w:rPr>
        <w:t> </w:t>
      </w:r>
      <w:r w:rsidR="00F53D3C" w:rsidRPr="00F53D3C">
        <w:rPr>
          <w:lang w:val="uk-UA"/>
        </w:rPr>
        <w:t>[</w:t>
      </w:r>
      <w:r w:rsidR="00E12401">
        <w:rPr>
          <w:lang w:val="uk-UA"/>
        </w:rPr>
        <w:t>4</w:t>
      </w:r>
      <w:r w:rsidR="00F53D3C" w:rsidRPr="00F53D3C">
        <w:rPr>
          <w:lang w:val="uk-UA"/>
        </w:rPr>
        <w:t xml:space="preserve">] </w:t>
      </w:r>
      <w:r w:rsidR="00147F44">
        <w:rPr>
          <w:lang w:val="uk-UA"/>
        </w:rPr>
        <w:t>(</w:t>
      </w:r>
      <w:hyperlink r:id="rId20" w:history="1">
        <w:r w:rsidR="00147F44" w:rsidRPr="008F763F">
          <w:rPr>
            <w:rStyle w:val="ab"/>
            <w:lang w:val="uk-UA"/>
          </w:rPr>
          <w:t>https://www.researchgate.net/publication/377391729_Software_Quality_Measurement_for_Functional_Suitability_Performance_Efficiency_and_Reliability_Characteristics_Using_Analytical_Hierarchy_Process</w:t>
        </w:r>
      </w:hyperlink>
      <w:r w:rsidR="00147F44">
        <w:rPr>
          <w:lang w:val="uk-UA"/>
        </w:rPr>
        <w:t xml:space="preserve">) </w:t>
      </w:r>
      <w:r w:rsidR="00F53D3C">
        <w:rPr>
          <w:lang w:val="uk-UA"/>
        </w:rPr>
        <w:t>та структурна складність вершини графу</w:t>
      </w:r>
      <w:r w:rsidR="00B330BC">
        <w:rPr>
          <w:lang w:val="en-US"/>
        </w:rPr>
        <w:t> </w:t>
      </w:r>
      <w:r w:rsidR="00147F44" w:rsidRPr="00147F44">
        <w:rPr>
          <w:lang w:val="ru-RU"/>
        </w:rPr>
        <w:t>[</w:t>
      </w:r>
      <w:r w:rsidR="00E12401">
        <w:rPr>
          <w:lang w:val="ru-RU"/>
        </w:rPr>
        <w:t>5</w:t>
      </w:r>
      <w:r w:rsidR="00147F44">
        <w:rPr>
          <w:lang w:val="ru-RU"/>
        </w:rPr>
        <w:t>-</w:t>
      </w:r>
      <w:r w:rsidR="00E12401">
        <w:rPr>
          <w:lang w:val="ru-RU"/>
        </w:rPr>
        <w:t>6</w:t>
      </w:r>
      <w:r w:rsidR="00147F44" w:rsidRPr="00147F44">
        <w:rPr>
          <w:lang w:val="ru-RU"/>
        </w:rPr>
        <w:t>] (</w:t>
      </w:r>
      <w:r w:rsidR="00147F44" w:rsidRPr="00147F44">
        <w:rPr>
          <w:lang w:val="ru-RU"/>
        </w:rPr>
        <w:t>https://www.researchgate.net/publication/305857637_Research_trends_in_structural_software_complexity</w:t>
      </w:r>
      <w:r w:rsidR="00147F44" w:rsidRPr="00147F44">
        <w:rPr>
          <w:lang w:val="ru-RU"/>
        </w:rPr>
        <w:t>)</w:t>
      </w:r>
      <w:r w:rsidR="00147F44">
        <w:rPr>
          <w:lang w:val="ru-RU"/>
        </w:rPr>
        <w:t>(</w:t>
      </w:r>
      <w:r w:rsidR="00147F44" w:rsidRPr="00147F44">
        <w:t xml:space="preserve"> </w:t>
      </w:r>
      <w:r w:rsidR="00147F44" w:rsidRPr="00147F44">
        <w:rPr>
          <w:lang w:val="ru-RU"/>
        </w:rPr>
        <w:t>https://www.researchgate.net/publication/346166139_Maintainability_and_Portability_Evaluation_of_the_React_Native_Framework_Applying_the_ISOIEC_25010</w:t>
      </w:r>
      <w:r w:rsidR="00147F44">
        <w:rPr>
          <w:lang w:val="ru-RU"/>
        </w:rPr>
        <w:t>)</w:t>
      </w:r>
      <w:r w:rsidR="00A56CB1" w:rsidRPr="00F53D3C">
        <w:rPr>
          <w:lang w:val="uk-UA"/>
        </w:rPr>
        <w:t xml:space="preserve">. </w:t>
      </w:r>
      <w:proofErr w:type="spellStart"/>
      <w:r w:rsidR="00A56CB1">
        <w:rPr>
          <w:lang w:val="ru-RU"/>
        </w:rPr>
        <w:t>Формули</w:t>
      </w:r>
      <w:proofErr w:type="spellEnd"/>
      <w:r w:rsidR="00A56CB1">
        <w:rPr>
          <w:lang w:val="ru-RU"/>
        </w:rPr>
        <w:t xml:space="preserve"> </w:t>
      </w:r>
      <w:proofErr w:type="spellStart"/>
      <w:r w:rsidR="00F53D3C">
        <w:rPr>
          <w:lang w:val="ru-RU"/>
        </w:rPr>
        <w:t>р</w:t>
      </w:r>
      <w:r w:rsidR="00A56CB1">
        <w:rPr>
          <w:lang w:val="ru-RU"/>
        </w:rPr>
        <w:t>озрахунку</w:t>
      </w:r>
      <w:proofErr w:type="spellEnd"/>
      <w:r w:rsidR="00A56CB1">
        <w:rPr>
          <w:lang w:val="ru-RU"/>
        </w:rPr>
        <w:t xml:space="preserve"> </w:t>
      </w:r>
      <w:proofErr w:type="spellStart"/>
      <w:r w:rsidR="00A56CB1">
        <w:rPr>
          <w:lang w:val="ru-RU"/>
        </w:rPr>
        <w:t>наведені</w:t>
      </w:r>
      <w:proofErr w:type="spellEnd"/>
      <w:r w:rsidR="00A56CB1">
        <w:rPr>
          <w:lang w:val="ru-RU"/>
        </w:rPr>
        <w:t xml:space="preserve"> у (</w:t>
      </w:r>
      <w:proofErr w:type="gramStart"/>
      <w:r w:rsidR="00A56CB1">
        <w:rPr>
          <w:lang w:val="ru-RU"/>
        </w:rPr>
        <w:t>2-4</w:t>
      </w:r>
      <w:proofErr w:type="gramEnd"/>
      <w:r w:rsidR="00A56CB1">
        <w:rPr>
          <w:lang w:val="ru-RU"/>
        </w:rPr>
        <w:t>)</w:t>
      </w:r>
      <w:r w:rsidR="00F53D3C">
        <w:rPr>
          <w:lang w:val="ru-RU"/>
        </w:rPr>
        <w:t xml:space="preserve"> </w:t>
      </w:r>
      <w:proofErr w:type="spellStart"/>
      <w:r w:rsidR="00F53D3C">
        <w:rPr>
          <w:lang w:val="ru-RU"/>
        </w:rPr>
        <w:t>відповідно</w:t>
      </w:r>
      <w:proofErr w:type="spellEnd"/>
      <w:r w:rsidR="00A56CB1">
        <w:rPr>
          <w:lang w:val="ru-RU"/>
        </w:rPr>
        <w:t>.</w:t>
      </w:r>
    </w:p>
    <w:p w14:paraId="1EDBAC82" w14:textId="0FCC77EE" w:rsidR="00A56CB1" w:rsidRPr="00562D24" w:rsidRDefault="00A56CB1" w:rsidP="00A56CB1">
      <w:pPr>
        <w:pStyle w:val="equation"/>
        <w:spacing w:before="0" w:after="0" w:line="240" w:lineRule="auto"/>
        <w:rPr>
          <w:lang w:val="uk-UA"/>
        </w:rPr>
      </w:pPr>
      <w:r w:rsidRPr="00562D24">
        <w:rPr>
          <w:rFonts w:eastAsia="MS Mincho"/>
          <w:lang w:val="uk-UA"/>
        </w:rPr>
        <w:tab/>
      </w:r>
      <w:r w:rsidR="00B330BC" w:rsidRPr="00A56CB1">
        <w:rPr>
          <w:rFonts w:eastAsia="MS Mincho" w:hint="eastAsia"/>
          <w:position w:val="-28"/>
          <w:lang w:val="uk-UA"/>
        </w:rPr>
        <w:object w:dxaOrig="3200" w:dyaOrig="660" w14:anchorId="098DC56D">
          <v:shape id="_x0000_i1140" type="#_x0000_t75" style="width:160pt;height:33pt" o:ole="">
            <v:imagedata r:id="rId21" o:title=""/>
          </v:shape>
          <o:OLEObject Type="Embed" ProgID="Equation.DSMT4" ShapeID="_x0000_i1140" DrawAspect="Content" ObjectID="_1808427033" r:id="rId22"/>
        </w:object>
      </w:r>
      <w:r w:rsidRPr="00562D24">
        <w:rPr>
          <w:lang w:val="uk-UA"/>
        </w:rPr>
        <w:tab/>
      </w:r>
      <w:r w:rsidRPr="00562D24">
        <w:rPr>
          <w:lang w:val="uk-UA"/>
        </w:rPr>
        <w:t></w:t>
      </w:r>
      <w:r>
        <w:rPr>
          <w:lang w:val="uk-UA"/>
        </w:rPr>
        <w:t>2</w:t>
      </w:r>
      <w:r w:rsidRPr="00562D24">
        <w:rPr>
          <w:lang w:val="uk-UA"/>
        </w:rPr>
        <w:t></w:t>
      </w:r>
    </w:p>
    <w:p w14:paraId="535F32CE" w14:textId="27FC27ED" w:rsidR="00A56CB1" w:rsidRDefault="00A56CB1" w:rsidP="00A56CB1">
      <w:pPr>
        <w:pStyle w:val="a3"/>
        <w:ind w:firstLine="0"/>
        <w:rPr>
          <w:lang w:val="uk-UA"/>
        </w:rPr>
      </w:pPr>
      <w:r>
        <w:rPr>
          <w:lang w:val="uk-UA"/>
        </w:rPr>
        <w:t xml:space="preserve">де </w:t>
      </w:r>
      <w:r w:rsidR="00B330BC" w:rsidRPr="00B330BC">
        <w:rPr>
          <w:position w:val="-4"/>
        </w:rPr>
        <w:object w:dxaOrig="340" w:dyaOrig="220" w14:anchorId="58A464CF">
          <v:shape id="_x0000_i1142" type="#_x0000_t75" style="width:17pt;height:11pt" o:ole="">
            <v:imagedata r:id="rId23" o:title=""/>
          </v:shape>
          <o:OLEObject Type="Embed" ProgID="Equation.DSMT4" ShapeID="_x0000_i1142" DrawAspect="Content" ObjectID="_1808427034" r:id="rId24"/>
        </w:object>
      </w:r>
      <w:r w:rsidR="00F53D3C">
        <w:rPr>
          <w:lang w:val="uk-UA"/>
        </w:rPr>
        <w:t xml:space="preserve"> – складність </w:t>
      </w:r>
      <w:r w:rsidR="00F53D3C" w:rsidRPr="00FE219D">
        <w:rPr>
          <w:lang w:val="uk-UA"/>
        </w:rPr>
        <w:t>опер</w:t>
      </w:r>
      <w:r w:rsidR="00F53D3C">
        <w:rPr>
          <w:lang w:val="uk-UA"/>
        </w:rPr>
        <w:t>а</w:t>
      </w:r>
      <w:r w:rsidR="00F53D3C" w:rsidRPr="00FE219D">
        <w:rPr>
          <w:lang w:val="uk-UA"/>
        </w:rPr>
        <w:t>ції, що ві</w:t>
      </w:r>
      <w:r w:rsidR="00F53D3C">
        <w:rPr>
          <w:lang w:val="uk-UA"/>
        </w:rPr>
        <w:t>дповідає вершині</w:t>
      </w:r>
      <w:r w:rsidR="00B330BC">
        <w:rPr>
          <w:lang w:val="uk-UA"/>
        </w:rPr>
        <w:t xml:space="preserve"> графу</w:t>
      </w:r>
      <w:r w:rsidR="00F53D3C">
        <w:rPr>
          <w:lang w:val="uk-UA"/>
        </w:rPr>
        <w:t xml:space="preserve">; </w:t>
      </w:r>
      <w:r w:rsidR="00B330BC" w:rsidRPr="000A0415">
        <w:rPr>
          <w:position w:val="-10"/>
        </w:rPr>
        <w:object w:dxaOrig="660" w:dyaOrig="300" w14:anchorId="1557701B">
          <v:shape id="_x0000_i1144" type="#_x0000_t75" style="width:33pt;height:15pt" o:ole="">
            <v:imagedata r:id="rId25" o:title=""/>
          </v:shape>
          <o:OLEObject Type="Embed" ProgID="Equation.DSMT4" ShapeID="_x0000_i1144" DrawAspect="Content" ObjectID="_1808427035" r:id="rId26"/>
        </w:object>
      </w:r>
      <w:r w:rsidR="00FE219D">
        <w:rPr>
          <w:lang w:val="uk-UA"/>
        </w:rPr>
        <w:t xml:space="preserve"> – </w:t>
      </w:r>
      <w:r w:rsidR="00FE219D" w:rsidRPr="00FE219D">
        <w:rPr>
          <w:lang w:val="uk-UA"/>
        </w:rPr>
        <w:t>95</w:t>
      </w:r>
      <w:r w:rsidR="00FE219D" w:rsidRPr="00FE219D">
        <w:rPr>
          <w:lang w:val="uk-UA"/>
        </w:rPr>
        <w:noBreakHyphen/>
        <w:t xml:space="preserve">й </w:t>
      </w:r>
      <w:proofErr w:type="spellStart"/>
      <w:r w:rsidR="00FE219D" w:rsidRPr="00FE219D">
        <w:rPr>
          <w:lang w:val="uk-UA"/>
        </w:rPr>
        <w:t>перцентиль</w:t>
      </w:r>
      <w:proofErr w:type="spellEnd"/>
      <w:r w:rsidR="00FE219D" w:rsidRPr="00FE219D">
        <w:rPr>
          <w:lang w:val="uk-UA"/>
        </w:rPr>
        <w:t xml:space="preserve"> затримки відповіді </w:t>
      </w:r>
      <w:r w:rsidR="00FE219D" w:rsidRPr="00FE219D">
        <w:rPr>
          <w:lang w:val="uk-UA"/>
        </w:rPr>
        <w:t>опер</w:t>
      </w:r>
      <w:r w:rsidR="00F53D3C">
        <w:rPr>
          <w:lang w:val="uk-UA"/>
        </w:rPr>
        <w:t>а</w:t>
      </w:r>
      <w:r w:rsidR="00FE219D" w:rsidRPr="00FE219D">
        <w:rPr>
          <w:lang w:val="uk-UA"/>
        </w:rPr>
        <w:t>ції</w:t>
      </w:r>
      <w:r w:rsidR="00F53D3C">
        <w:rPr>
          <w:lang w:val="uk-UA"/>
        </w:rPr>
        <w:t>;</w:t>
      </w:r>
      <w:r w:rsidR="00FE219D">
        <w:rPr>
          <w:lang w:val="uk-UA"/>
        </w:rPr>
        <w:t xml:space="preserve"> </w:t>
      </w:r>
      <w:r w:rsidR="00FE219D" w:rsidRPr="000A0415">
        <w:rPr>
          <w:position w:val="-10"/>
        </w:rPr>
        <w:object w:dxaOrig="560" w:dyaOrig="300" w14:anchorId="3B97BAC4">
          <v:shape id="_x0000_i1076" type="#_x0000_t75" style="width:28pt;height:15pt" o:ole="">
            <v:imagedata r:id="rId27" o:title=""/>
          </v:shape>
          <o:OLEObject Type="Embed" ProgID="Equation.DSMT4" ShapeID="_x0000_i1076" DrawAspect="Content" ObjectID="_1808427036" r:id="rId28"/>
        </w:object>
      </w:r>
      <w:r w:rsidR="00FE219D">
        <w:rPr>
          <w:lang w:val="uk-UA"/>
        </w:rPr>
        <w:t xml:space="preserve"> – </w:t>
      </w:r>
      <w:r w:rsidR="00FE219D" w:rsidRPr="00FE219D">
        <w:rPr>
          <w:lang w:val="uk-UA"/>
        </w:rPr>
        <w:t>декларована допустима межа латентності</w:t>
      </w:r>
      <w:r w:rsidR="00FE219D" w:rsidRPr="00FE219D">
        <w:rPr>
          <w:lang w:val="uk-UA"/>
        </w:rPr>
        <w:t>, що</w:t>
      </w:r>
      <w:r w:rsidR="00FE219D">
        <w:rPr>
          <w:lang w:val="uk-UA"/>
        </w:rPr>
        <w:t xml:space="preserve"> визначається у </w:t>
      </w:r>
      <w:r w:rsidR="00FE219D" w:rsidRPr="00FE219D">
        <w:rPr>
          <w:lang w:val="uk-UA"/>
        </w:rPr>
        <w:t> мс</w:t>
      </w:r>
      <w:r w:rsidR="00F53D3C">
        <w:rPr>
          <w:lang w:val="uk-UA"/>
        </w:rPr>
        <w:t>;</w:t>
      </w:r>
      <w:r w:rsidR="00FE219D">
        <w:rPr>
          <w:lang w:val="uk-UA"/>
        </w:rPr>
        <w:t xml:space="preserve"> </w:t>
      </w:r>
      <w:r w:rsidR="00B330BC" w:rsidRPr="000A0415">
        <w:rPr>
          <w:position w:val="-10"/>
        </w:rPr>
        <w:object w:dxaOrig="740" w:dyaOrig="300" w14:anchorId="21EB9B4E">
          <v:shape id="_x0000_i1147" type="#_x0000_t75" style="width:37pt;height:15pt" o:ole="">
            <v:imagedata r:id="rId29" o:title=""/>
          </v:shape>
          <o:OLEObject Type="Embed" ProgID="Equation.DSMT4" ShapeID="_x0000_i1147" DrawAspect="Content" ObjectID="_1808427037" r:id="rId30"/>
        </w:object>
      </w:r>
      <w:r w:rsidR="00FE219D">
        <w:rPr>
          <w:lang w:val="uk-UA"/>
        </w:rPr>
        <w:t xml:space="preserve"> – </w:t>
      </w:r>
      <w:r w:rsidR="00FE219D" w:rsidRPr="00FE219D">
        <w:rPr>
          <w:lang w:val="uk-UA"/>
        </w:rPr>
        <w:t xml:space="preserve">середнє завантаження процесора у </w:t>
      </w:r>
      <w:r w:rsidR="00F53D3C">
        <w:rPr>
          <w:lang w:val="uk-UA"/>
        </w:rPr>
        <w:t>в діапазоні від 0 до 100</w:t>
      </w:r>
      <w:r w:rsidR="00F53D3C" w:rsidRPr="00F53D3C">
        <w:rPr>
          <w:lang w:val="uk-UA"/>
        </w:rPr>
        <w:t>%</w:t>
      </w:r>
      <w:r w:rsidR="00FE219D" w:rsidRPr="00FE219D">
        <w:rPr>
          <w:lang w:val="uk-UA"/>
        </w:rPr>
        <w:t xml:space="preserve"> протягом </w:t>
      </w:r>
      <w:r w:rsidR="00F53D3C">
        <w:rPr>
          <w:lang w:val="uk-UA"/>
        </w:rPr>
        <w:t xml:space="preserve">виконання </w:t>
      </w:r>
      <w:r w:rsidR="00FE219D" w:rsidRPr="00FE219D">
        <w:rPr>
          <w:lang w:val="uk-UA"/>
        </w:rPr>
        <w:t>опер</w:t>
      </w:r>
      <w:r w:rsidR="00F53D3C">
        <w:rPr>
          <w:lang w:val="uk-UA"/>
        </w:rPr>
        <w:t>а</w:t>
      </w:r>
      <w:r w:rsidR="00FE219D" w:rsidRPr="00FE219D">
        <w:rPr>
          <w:lang w:val="uk-UA"/>
        </w:rPr>
        <w:t>ції</w:t>
      </w:r>
      <w:r w:rsidR="00FE219D">
        <w:rPr>
          <w:lang w:val="uk-UA"/>
        </w:rPr>
        <w:t>.</w:t>
      </w:r>
    </w:p>
    <w:p w14:paraId="1BD61956" w14:textId="33C0AEA0" w:rsidR="00FE219D" w:rsidRPr="00562D24" w:rsidRDefault="00FE219D" w:rsidP="00FE219D">
      <w:pPr>
        <w:pStyle w:val="equation"/>
        <w:spacing w:before="0" w:after="0" w:line="240" w:lineRule="auto"/>
        <w:rPr>
          <w:lang w:val="uk-UA"/>
        </w:rPr>
      </w:pPr>
      <w:r w:rsidRPr="00562D24">
        <w:rPr>
          <w:rFonts w:eastAsia="MS Mincho"/>
          <w:lang w:val="uk-UA"/>
        </w:rPr>
        <w:tab/>
      </w:r>
      <w:r w:rsidR="00B330BC" w:rsidRPr="00A56CB1">
        <w:rPr>
          <w:rFonts w:eastAsia="MS Mincho" w:hint="eastAsia"/>
          <w:position w:val="-28"/>
          <w:lang w:val="uk-UA"/>
        </w:rPr>
        <w:object w:dxaOrig="3260" w:dyaOrig="660" w14:anchorId="6FE769E3">
          <v:shape id="_x0000_i1149" type="#_x0000_t75" style="width:163pt;height:33pt" o:ole="">
            <v:imagedata r:id="rId31" o:title=""/>
          </v:shape>
          <o:OLEObject Type="Embed" ProgID="Equation.DSMT4" ShapeID="_x0000_i1149" DrawAspect="Content" ObjectID="_1808427038" r:id="rId32"/>
        </w:object>
      </w:r>
      <w:r w:rsidRPr="00562D24">
        <w:rPr>
          <w:lang w:val="uk-UA"/>
        </w:rPr>
        <w:tab/>
      </w:r>
      <w:r w:rsidRPr="00562D24">
        <w:rPr>
          <w:lang w:val="uk-UA"/>
        </w:rPr>
        <w:t></w:t>
      </w:r>
      <w:r>
        <w:rPr>
          <w:lang w:val="uk-UA"/>
        </w:rPr>
        <w:t>3</w:t>
      </w:r>
      <w:r w:rsidRPr="00562D24">
        <w:rPr>
          <w:lang w:val="uk-UA"/>
        </w:rPr>
        <w:t></w:t>
      </w:r>
    </w:p>
    <w:p w14:paraId="1BFDE3B9" w14:textId="0779C77F" w:rsidR="00FE219D" w:rsidRDefault="00FE219D" w:rsidP="00FE219D">
      <w:pPr>
        <w:pStyle w:val="a3"/>
        <w:ind w:firstLine="0"/>
        <w:rPr>
          <w:lang w:val="uk-UA"/>
        </w:rPr>
      </w:pPr>
      <w:r>
        <w:rPr>
          <w:lang w:val="uk-UA"/>
        </w:rPr>
        <w:t>де</w:t>
      </w:r>
      <w:r w:rsidR="00F53D3C">
        <w:rPr>
          <w:lang w:val="uk-UA"/>
        </w:rPr>
        <w:t xml:space="preserve"> </w:t>
      </w:r>
      <w:r w:rsidR="00B330BC" w:rsidRPr="00B330BC">
        <w:rPr>
          <w:position w:val="-4"/>
        </w:rPr>
        <w:object w:dxaOrig="440" w:dyaOrig="220" w14:anchorId="635E9924">
          <v:shape id="_x0000_i1151" type="#_x0000_t75" style="width:22pt;height:11pt" o:ole="">
            <v:imagedata r:id="rId33" o:title=""/>
          </v:shape>
          <o:OLEObject Type="Embed" ProgID="Equation.DSMT4" ShapeID="_x0000_i1151" DrawAspect="Content" ObjectID="_1808427039" r:id="rId34"/>
        </w:object>
      </w:r>
      <w:r w:rsidR="00F53D3C">
        <w:rPr>
          <w:lang w:val="uk-UA"/>
        </w:rPr>
        <w:t xml:space="preserve"> – </w:t>
      </w:r>
      <w:r w:rsidR="00F53D3C" w:rsidRPr="00F53D3C">
        <w:rPr>
          <w:lang w:val="uk-UA"/>
        </w:rPr>
        <w:t>безвідмовність</w:t>
      </w:r>
      <w:r w:rsidR="00F53D3C">
        <w:rPr>
          <w:lang w:val="uk-UA"/>
        </w:rPr>
        <w:t xml:space="preserve"> операції</w:t>
      </w:r>
      <w:r w:rsidR="00F53D3C" w:rsidRPr="00FE219D">
        <w:rPr>
          <w:lang w:val="uk-UA"/>
        </w:rPr>
        <w:t>, що ві</w:t>
      </w:r>
      <w:r w:rsidR="00F53D3C">
        <w:rPr>
          <w:lang w:val="uk-UA"/>
        </w:rPr>
        <w:t>дповідає вершині</w:t>
      </w:r>
      <w:r w:rsidR="00B330BC">
        <w:rPr>
          <w:lang w:val="uk-UA"/>
        </w:rPr>
        <w:t xml:space="preserve"> графу</w:t>
      </w:r>
      <w:r w:rsidR="00F53D3C">
        <w:rPr>
          <w:lang w:val="uk-UA"/>
        </w:rPr>
        <w:t>;</w:t>
      </w:r>
      <w:r>
        <w:rPr>
          <w:lang w:val="uk-UA"/>
        </w:rPr>
        <w:t xml:space="preserve"> </w:t>
      </w:r>
      <w:r w:rsidR="00B330BC" w:rsidRPr="000A0415">
        <w:rPr>
          <w:position w:val="-10"/>
        </w:rPr>
        <w:object w:dxaOrig="840" w:dyaOrig="300" w14:anchorId="2E365F5C">
          <v:shape id="_x0000_i1154" type="#_x0000_t75" style="width:42pt;height:15pt" o:ole="">
            <v:imagedata r:id="rId35" o:title=""/>
          </v:shape>
          <o:OLEObject Type="Embed" ProgID="Equation.DSMT4" ShapeID="_x0000_i1154" DrawAspect="Content" ObjectID="_1808427040" r:id="rId36"/>
        </w:object>
      </w:r>
      <w:r>
        <w:t xml:space="preserve"> </w:t>
      </w:r>
      <w:r>
        <w:rPr>
          <w:lang w:val="uk-UA"/>
        </w:rPr>
        <w:t xml:space="preserve">– </w:t>
      </w:r>
      <w:r w:rsidRPr="00F53D3C">
        <w:rPr>
          <w:lang w:val="uk-UA"/>
        </w:rPr>
        <w:t xml:space="preserve">частка успішних </w:t>
      </w:r>
      <w:proofErr w:type="spellStart"/>
      <w:r w:rsidRPr="00F53D3C">
        <w:rPr>
          <w:lang w:val="uk-UA"/>
        </w:rPr>
        <w:t>виконань</w:t>
      </w:r>
      <w:proofErr w:type="spellEnd"/>
      <w:r w:rsidRPr="00F53D3C">
        <w:rPr>
          <w:lang w:val="uk-UA"/>
        </w:rPr>
        <w:t xml:space="preserve"> </w:t>
      </w:r>
      <w:r>
        <w:rPr>
          <w:lang w:val="uk-UA"/>
        </w:rPr>
        <w:t>операції</w:t>
      </w:r>
      <w:r w:rsidR="00F53D3C">
        <w:rPr>
          <w:lang w:val="uk-UA"/>
        </w:rPr>
        <w:t>;</w:t>
      </w:r>
      <w:r>
        <w:t xml:space="preserve"> </w:t>
      </w:r>
      <w:r w:rsidR="00B330BC" w:rsidRPr="000A0415">
        <w:rPr>
          <w:position w:val="-10"/>
        </w:rPr>
        <w:object w:dxaOrig="840" w:dyaOrig="300" w14:anchorId="6EB0B550">
          <v:shape id="_x0000_i1156" type="#_x0000_t75" style="width:42pt;height:15pt" o:ole="">
            <v:imagedata r:id="rId37" o:title=""/>
          </v:shape>
          <o:OLEObject Type="Embed" ProgID="Equation.DSMT4" ShapeID="_x0000_i1156" DrawAspect="Content" ObjectID="_1808427041" r:id="rId38"/>
        </w:object>
      </w:r>
      <w:r>
        <w:t xml:space="preserve"> – </w:t>
      </w:r>
      <w:r w:rsidR="00F53D3C" w:rsidRPr="00F53D3C">
        <w:rPr>
          <w:lang w:val="uk-UA"/>
        </w:rPr>
        <w:t>середній час відновлення після збою</w:t>
      </w:r>
      <w:r w:rsidR="00F53D3C">
        <w:rPr>
          <w:lang w:val="uk-UA"/>
        </w:rPr>
        <w:t xml:space="preserve"> в роботі операції; </w:t>
      </w:r>
      <w:r w:rsidR="00F53D3C" w:rsidRPr="000A0415">
        <w:rPr>
          <w:position w:val="-10"/>
        </w:rPr>
        <w:object w:dxaOrig="800" w:dyaOrig="300" w14:anchorId="3305DA94">
          <v:shape id="_x0000_i1094" type="#_x0000_t75" style="width:40pt;height:15pt" o:ole="">
            <v:imagedata r:id="rId39" o:title=""/>
          </v:shape>
          <o:OLEObject Type="Embed" ProgID="Equation.DSMT4" ShapeID="_x0000_i1094" DrawAspect="Content" ObjectID="_1808427042" r:id="rId40"/>
        </w:object>
      </w:r>
      <w:r w:rsidR="00F53D3C">
        <w:rPr>
          <w:lang w:val="uk-UA"/>
        </w:rPr>
        <w:t xml:space="preserve"> – </w:t>
      </w:r>
      <w:r w:rsidR="00F53D3C" w:rsidRPr="00F53D3C">
        <w:rPr>
          <w:lang w:val="uk-UA"/>
        </w:rPr>
        <w:t>еталонна верхня межа</w:t>
      </w:r>
      <w:r w:rsidR="00F53D3C" w:rsidRPr="00F53D3C">
        <w:rPr>
          <w:lang w:val="uk-UA"/>
        </w:rPr>
        <w:t xml:space="preserve"> </w:t>
      </w:r>
      <w:r w:rsidR="00F53D3C">
        <w:rPr>
          <w:lang w:val="uk-UA"/>
        </w:rPr>
        <w:t>часу відновлення.</w:t>
      </w:r>
    </w:p>
    <w:p w14:paraId="0D834A64" w14:textId="4CA3817B" w:rsidR="00BA643E" w:rsidRPr="00562D24" w:rsidRDefault="00BA643E" w:rsidP="00BA643E">
      <w:pPr>
        <w:pStyle w:val="equation"/>
        <w:spacing w:before="0" w:after="0" w:line="240" w:lineRule="auto"/>
        <w:rPr>
          <w:lang w:val="uk-UA"/>
        </w:rPr>
      </w:pPr>
      <w:r w:rsidRPr="00562D24">
        <w:rPr>
          <w:rFonts w:eastAsia="MS Mincho"/>
          <w:lang w:val="uk-UA"/>
        </w:rPr>
        <w:tab/>
      </w:r>
      <w:r w:rsidR="00B330BC" w:rsidRPr="00B330BC">
        <w:rPr>
          <w:rFonts w:eastAsia="MS Mincho" w:hint="eastAsia"/>
          <w:position w:val="-44"/>
          <w:lang w:val="uk-UA"/>
        </w:rPr>
        <w:object w:dxaOrig="4400" w:dyaOrig="980" w14:anchorId="2E87097A">
          <v:shape id="_x0000_i1160" type="#_x0000_t75" style="width:220pt;height:49pt" o:ole="">
            <v:imagedata r:id="rId41" o:title=""/>
          </v:shape>
          <o:OLEObject Type="Embed" ProgID="Equation.DSMT4" ShapeID="_x0000_i1160" DrawAspect="Content" ObjectID="_1808427043" r:id="rId42"/>
        </w:object>
      </w:r>
      <w:r w:rsidRPr="00562D24">
        <w:rPr>
          <w:lang w:val="uk-UA"/>
        </w:rPr>
        <w:tab/>
      </w:r>
      <w:r w:rsidRPr="00562D24">
        <w:rPr>
          <w:lang w:val="uk-UA"/>
        </w:rPr>
        <w:t></w:t>
      </w:r>
      <w:r w:rsidR="00E12401">
        <w:rPr>
          <w:lang w:val="uk-UA"/>
        </w:rPr>
        <w:t>4</w:t>
      </w:r>
      <w:r w:rsidRPr="00562D24">
        <w:rPr>
          <w:lang w:val="uk-UA"/>
        </w:rPr>
        <w:t></w:t>
      </w:r>
    </w:p>
    <w:p w14:paraId="56CA209B" w14:textId="36F8B140" w:rsidR="00F53D3C" w:rsidRDefault="00BA643E" w:rsidP="00FE219D">
      <w:pPr>
        <w:pStyle w:val="a3"/>
        <w:ind w:firstLine="0"/>
        <w:rPr>
          <w:lang w:val="uk-UA"/>
        </w:rPr>
      </w:pPr>
      <w:r>
        <w:rPr>
          <w:lang w:val="uk-UA"/>
        </w:rPr>
        <w:t xml:space="preserve">де </w:t>
      </w:r>
      <w:r w:rsidR="00B330BC" w:rsidRPr="000A0415">
        <w:rPr>
          <w:position w:val="-10"/>
        </w:rPr>
        <w:object w:dxaOrig="680" w:dyaOrig="300" w14:anchorId="12862575">
          <v:shape id="_x0000_i1162" type="#_x0000_t75" style="width:34pt;height:15pt" o:ole="">
            <v:imagedata r:id="rId43" o:title=""/>
          </v:shape>
          <o:OLEObject Type="Embed" ProgID="Equation.DSMT4" ShapeID="_x0000_i1162" DrawAspect="Content" ObjectID="_1808427044" r:id="rId44"/>
        </w:object>
      </w:r>
      <w:r>
        <w:rPr>
          <w:lang w:val="uk-UA"/>
        </w:rPr>
        <w:t xml:space="preserve"> – </w:t>
      </w:r>
      <w:r>
        <w:rPr>
          <w:lang w:val="uk-UA"/>
        </w:rPr>
        <w:t>структурна складність вершини графу</w:t>
      </w:r>
      <w:r>
        <w:rPr>
          <w:lang w:val="uk-UA"/>
        </w:rPr>
        <w:t xml:space="preserve">; </w:t>
      </w:r>
      <w:r w:rsidR="00B330BC" w:rsidRPr="000A0415">
        <w:rPr>
          <w:position w:val="-10"/>
        </w:rPr>
        <w:object w:dxaOrig="480" w:dyaOrig="300" w14:anchorId="7A216186">
          <v:shape id="_x0000_i1165" type="#_x0000_t75" style="width:24pt;height:15pt" o:ole="">
            <v:imagedata r:id="rId45" o:title=""/>
          </v:shape>
          <o:OLEObject Type="Embed" ProgID="Equation.DSMT4" ShapeID="_x0000_i1165" DrawAspect="Content" ObjectID="_1808427045" r:id="rId46"/>
        </w:object>
      </w:r>
      <w:r>
        <w:rPr>
          <w:lang w:val="uk-UA"/>
        </w:rPr>
        <w:t xml:space="preserve"> та </w:t>
      </w:r>
      <w:r w:rsidR="00B330BC" w:rsidRPr="000A0415">
        <w:rPr>
          <w:position w:val="-10"/>
        </w:rPr>
        <w:object w:dxaOrig="620" w:dyaOrig="300" w14:anchorId="76F8B271">
          <v:shape id="_x0000_i1167" type="#_x0000_t75" style="width:31pt;height:15pt" o:ole="">
            <v:imagedata r:id="rId47" o:title=""/>
          </v:shape>
          <o:OLEObject Type="Embed" ProgID="Equation.DSMT4" ShapeID="_x0000_i1167" DrawAspect="Content" ObjectID="_1808427046" r:id="rId48"/>
        </w:object>
      </w:r>
      <w:r>
        <w:rPr>
          <w:lang w:val="uk-UA"/>
        </w:rPr>
        <w:t xml:space="preserve"> – </w:t>
      </w:r>
      <w:r w:rsidRPr="00BA643E">
        <w:rPr>
          <w:lang w:val="uk-UA"/>
        </w:rPr>
        <w:t>відповідно кількість вхідних та вихідних зв’язків </w:t>
      </w:r>
      <w:r>
        <w:rPr>
          <w:lang w:val="uk-UA"/>
        </w:rPr>
        <w:t xml:space="preserve">вершини; </w:t>
      </w:r>
      <w:r w:rsidR="00B330BC" w:rsidRPr="000A0415">
        <w:rPr>
          <w:position w:val="-10"/>
        </w:rPr>
        <w:object w:dxaOrig="660" w:dyaOrig="320" w14:anchorId="1A1BB7F4">
          <v:shape id="_x0000_i1169" type="#_x0000_t75" style="width:33pt;height:16pt" o:ole="">
            <v:imagedata r:id="rId49" o:title=""/>
          </v:shape>
          <o:OLEObject Type="Embed" ProgID="Equation.DSMT4" ShapeID="_x0000_i1169" DrawAspect="Content" ObjectID="_1808427047" r:id="rId50"/>
        </w:object>
      </w:r>
      <w:r>
        <w:rPr>
          <w:lang w:val="uk-UA"/>
        </w:rPr>
        <w:t xml:space="preserve"> – </w:t>
      </w:r>
      <w:r w:rsidRPr="00BA643E">
        <w:rPr>
          <w:lang w:val="uk-UA"/>
        </w:rPr>
        <w:t>нормована</w:t>
      </w:r>
      <w:r w:rsidRPr="00BA643E">
        <w:rPr>
          <w:lang w:val="uk-UA"/>
        </w:rPr>
        <w:t xml:space="preserve"> до </w:t>
      </w:r>
      <w:r w:rsidRPr="00BA643E">
        <w:rPr>
          <w:lang w:val="uk-UA"/>
        </w:rPr>
        <w:t xml:space="preserve">[0;1] </w:t>
      </w:r>
      <w:proofErr w:type="spellStart"/>
      <w:r w:rsidRPr="00BA643E">
        <w:rPr>
          <w:lang w:val="uk-UA"/>
        </w:rPr>
        <w:t>міжцентральність</w:t>
      </w:r>
      <w:proofErr w:type="spellEnd"/>
      <w:r w:rsidRPr="00BA643E">
        <w:rPr>
          <w:lang w:val="uk-UA"/>
        </w:rPr>
        <w:t xml:space="preserve"> вершини, </w:t>
      </w:r>
      <w:r w:rsidRPr="000A0415">
        <w:rPr>
          <w:position w:val="-10"/>
        </w:rPr>
        <w:object w:dxaOrig="420" w:dyaOrig="300" w14:anchorId="160770D6">
          <v:shape id="_x0000_i1111" type="#_x0000_t75" style="width:21pt;height:15pt" o:ole="">
            <v:imagedata r:id="rId51" o:title=""/>
          </v:shape>
          <o:OLEObject Type="Embed" ProgID="Equation.DSMT4" ShapeID="_x0000_i1111" DrawAspect="Content" ObjectID="_1808427048" r:id="rId52"/>
        </w:object>
      </w:r>
      <w:r>
        <w:rPr>
          <w:lang w:val="uk-UA"/>
        </w:rPr>
        <w:t xml:space="preserve"> – </w:t>
      </w:r>
      <w:r w:rsidRPr="00BA643E">
        <w:rPr>
          <w:lang w:val="uk-UA"/>
        </w:rPr>
        <w:t> поріг прийнятної сумарної складності</w:t>
      </w:r>
      <w:r>
        <w:rPr>
          <w:lang w:val="uk-UA"/>
        </w:rPr>
        <w:t>.</w:t>
      </w:r>
    </w:p>
    <w:p w14:paraId="421A720D" w14:textId="56F49CCE" w:rsidR="0078277C" w:rsidRPr="00B330BC" w:rsidRDefault="0078277C" w:rsidP="0078277C">
      <w:pPr>
        <w:pStyle w:val="a3"/>
        <w:spacing w:after="0" w:line="240" w:lineRule="auto"/>
        <w:ind w:firstLine="284"/>
        <w:rPr>
          <w:lang w:val="uk-UA"/>
        </w:rPr>
      </w:pPr>
      <w:r w:rsidRPr="0078277C">
        <w:rPr>
          <w:lang w:val="uk-UA"/>
        </w:rPr>
        <w:t xml:space="preserve">Після розрахунку трьох базових показників </w:t>
      </w:r>
      <w:r w:rsidRPr="0078277C">
        <w:rPr>
          <w:i/>
          <w:iCs/>
          <w:lang w:val="uk-UA"/>
        </w:rPr>
        <w:t>PE</w:t>
      </w:r>
      <w:r w:rsidRPr="0078277C">
        <w:rPr>
          <w:lang w:val="uk-UA"/>
        </w:rPr>
        <w:t xml:space="preserve">, </w:t>
      </w:r>
      <w:r w:rsidRPr="0078277C">
        <w:rPr>
          <w:i/>
          <w:iCs/>
          <w:lang w:val="uk-UA"/>
        </w:rPr>
        <w:t>REL</w:t>
      </w:r>
      <w:r w:rsidRPr="0078277C">
        <w:rPr>
          <w:lang w:val="uk-UA"/>
        </w:rPr>
        <w:t xml:space="preserve"> </w:t>
      </w:r>
      <w:r>
        <w:rPr>
          <w:lang w:val="uk-UA"/>
        </w:rPr>
        <w:t>та</w:t>
      </w:r>
      <w:r w:rsidRPr="0078277C">
        <w:rPr>
          <w:lang w:val="uk-UA"/>
        </w:rPr>
        <w:t xml:space="preserve"> </w:t>
      </w:r>
      <w:r w:rsidRPr="0078277C">
        <w:rPr>
          <w:i/>
          <w:iCs/>
          <w:lang w:val="uk-UA"/>
        </w:rPr>
        <w:t>MAI</w:t>
      </w:r>
      <w:r w:rsidRPr="0078277C">
        <w:rPr>
          <w:lang w:val="uk-UA"/>
        </w:rPr>
        <w:t xml:space="preserve"> для кожної вершини </w:t>
      </w:r>
      <w:r w:rsidR="00B330BC">
        <w:rPr>
          <w:lang w:val="uk-UA"/>
        </w:rPr>
        <w:t xml:space="preserve">з множини </w:t>
      </w:r>
      <w:r w:rsidR="000C32CD" w:rsidRPr="000A0415">
        <w:rPr>
          <w:position w:val="-10"/>
        </w:rPr>
        <w:object w:dxaOrig="220" w:dyaOrig="300" w14:anchorId="2C427384">
          <v:shape id="_x0000_i1191" type="#_x0000_t75" style="width:11pt;height:15pt" o:ole="">
            <v:imagedata r:id="rId53" o:title=""/>
          </v:shape>
          <o:OLEObject Type="Embed" ProgID="Equation.DSMT4" ShapeID="_x0000_i1191" DrawAspect="Content" ObjectID="_1808427049" r:id="rId54"/>
        </w:object>
      </w:r>
      <w:r w:rsidR="00B330BC">
        <w:rPr>
          <w:lang w:val="uk-UA"/>
        </w:rPr>
        <w:t xml:space="preserve"> </w:t>
      </w:r>
      <w:r w:rsidRPr="0078277C">
        <w:rPr>
          <w:lang w:val="uk-UA"/>
        </w:rPr>
        <w:t>формується інтегральний індекс ризику:</w:t>
      </w:r>
    </w:p>
    <w:p w14:paraId="3F36DDAF" w14:textId="662260AE" w:rsidR="00B330BC" w:rsidRPr="00562D24" w:rsidRDefault="00B330BC" w:rsidP="00B330BC">
      <w:pPr>
        <w:pStyle w:val="equation"/>
        <w:spacing w:before="0" w:after="0" w:line="240" w:lineRule="auto"/>
        <w:rPr>
          <w:lang w:val="uk-UA"/>
        </w:rPr>
      </w:pPr>
      <w:r w:rsidRPr="00562D24">
        <w:rPr>
          <w:rFonts w:eastAsia="MS Mincho"/>
          <w:lang w:val="uk-UA"/>
        </w:rPr>
        <w:tab/>
      </w:r>
      <w:r w:rsidR="00411F98" w:rsidRPr="00411F98">
        <w:rPr>
          <w:rFonts w:eastAsia="MS Mincho" w:hint="eastAsia"/>
          <w:position w:val="-102"/>
          <w:lang w:val="uk-UA"/>
        </w:rPr>
        <w:object w:dxaOrig="3980" w:dyaOrig="2200" w14:anchorId="164DBC20">
          <v:shape id="_x0000_i1185" type="#_x0000_t75" style="width:199pt;height:110pt" o:ole="">
            <v:imagedata r:id="rId55" o:title=""/>
          </v:shape>
          <o:OLEObject Type="Embed" ProgID="Equation.DSMT4" ShapeID="_x0000_i1185" DrawAspect="Content" ObjectID="_1808427050" r:id="rId56"/>
        </w:object>
      </w:r>
      <w:r w:rsidRPr="00562D24">
        <w:rPr>
          <w:lang w:val="uk-UA"/>
        </w:rPr>
        <w:tab/>
      </w:r>
      <w:r w:rsidRPr="00562D24">
        <w:rPr>
          <w:lang w:val="uk-UA"/>
        </w:rPr>
        <w:t></w:t>
      </w:r>
      <w:r>
        <w:t>5</w:t>
      </w:r>
      <w:r w:rsidRPr="00562D24">
        <w:rPr>
          <w:lang w:val="uk-UA"/>
        </w:rPr>
        <w:t></w:t>
      </w:r>
    </w:p>
    <w:p w14:paraId="73F4CEC4" w14:textId="3F3B7C17" w:rsidR="00B330BC" w:rsidRDefault="00DC6BFC" w:rsidP="00DC6BFC">
      <w:pPr>
        <w:pStyle w:val="a3"/>
        <w:spacing w:after="0" w:line="240" w:lineRule="auto"/>
        <w:ind w:firstLine="0"/>
        <w:rPr>
          <w:lang w:val="uk-UA"/>
        </w:rPr>
      </w:pPr>
      <w:r>
        <w:rPr>
          <w:lang w:val="uk-UA"/>
        </w:rPr>
        <w:t xml:space="preserve">де </w:t>
      </w:r>
      <w:r w:rsidRPr="00DC6BFC">
        <w:rPr>
          <w:lang w:val="en-US"/>
        </w:rPr>
        <w:t>α</w:t>
      </w:r>
      <w:r w:rsidRPr="00DC6BFC">
        <w:rPr>
          <w:lang w:val="uk-UA"/>
        </w:rPr>
        <w:t>,</w:t>
      </w:r>
      <w:r w:rsidRPr="00DC6BFC">
        <w:rPr>
          <w:lang w:val="en-US"/>
        </w:rPr>
        <w:t>β</w:t>
      </w:r>
      <w:r w:rsidRPr="00DC6BFC">
        <w:rPr>
          <w:lang w:val="uk-UA"/>
        </w:rPr>
        <w:t>,</w:t>
      </w:r>
      <w:r w:rsidRPr="00DC6BFC">
        <w:rPr>
          <w:lang w:val="en-US"/>
        </w:rPr>
        <w:t>γ</w:t>
      </w:r>
      <w:r w:rsidRPr="00DC6BFC">
        <w:rPr>
          <w:lang w:val="uk-UA"/>
        </w:rPr>
        <w:t>,</w:t>
      </w:r>
      <w:r w:rsidRPr="00DC6BFC">
        <w:rPr>
          <w:lang w:val="en-US"/>
        </w:rPr>
        <w:t>δ</w:t>
      </w:r>
      <w:r>
        <w:rPr>
          <w:lang w:val="uk-UA"/>
        </w:rPr>
        <w:t xml:space="preserve"> – </w:t>
      </w:r>
      <w:r w:rsidRPr="00DC6BFC">
        <w:rPr>
          <w:lang w:val="uk-UA"/>
        </w:rPr>
        <w:t>вагові коефіцієнти, визначені емпірично</w:t>
      </w:r>
      <w:r w:rsidR="000C32CD">
        <w:rPr>
          <w:lang w:val="uk-UA"/>
        </w:rPr>
        <w:t>, їх сума рівна 1</w:t>
      </w:r>
      <w:r>
        <w:rPr>
          <w:lang w:val="uk-UA"/>
        </w:rPr>
        <w:t xml:space="preserve">; </w:t>
      </w:r>
      <w:r w:rsidRPr="000A0415">
        <w:rPr>
          <w:position w:val="-10"/>
        </w:rPr>
        <w:object w:dxaOrig="320" w:dyaOrig="300" w14:anchorId="2BB51F0E">
          <v:shape id="_x0000_i1181" type="#_x0000_t75" style="width:16pt;height:15pt" o:ole="">
            <v:imagedata r:id="rId57" o:title=""/>
          </v:shape>
          <o:OLEObject Type="Embed" ProgID="Equation.DSMT4" ShapeID="_x0000_i1181" DrawAspect="Content" ObjectID="_1808427051" r:id="rId58"/>
        </w:object>
      </w:r>
      <w:r>
        <w:t xml:space="preserve"> – </w:t>
      </w:r>
      <w:r w:rsidRPr="00DC6BFC">
        <w:rPr>
          <w:lang w:val="uk-UA"/>
        </w:rPr>
        <w:t xml:space="preserve">частка </w:t>
      </w:r>
      <w:proofErr w:type="spellStart"/>
      <w:r w:rsidRPr="00DC6BFC">
        <w:rPr>
          <w:lang w:val="uk-UA"/>
        </w:rPr>
        <w:t>підграфа</w:t>
      </w:r>
      <w:proofErr w:type="spellEnd"/>
      <w:r w:rsidRPr="00DC6BFC">
        <w:rPr>
          <w:lang w:val="uk-UA"/>
        </w:rPr>
        <w:t xml:space="preserve">, </w:t>
      </w:r>
      <w:proofErr w:type="spellStart"/>
      <w:r w:rsidRPr="00DC6BFC">
        <w:rPr>
          <w:lang w:val="uk-UA"/>
        </w:rPr>
        <w:t>транзитивно</w:t>
      </w:r>
      <w:proofErr w:type="spellEnd"/>
      <w:r w:rsidRPr="00DC6BFC">
        <w:rPr>
          <w:lang w:val="uk-UA"/>
        </w:rPr>
        <w:t xml:space="preserve"> залежного від вершини</w:t>
      </w:r>
      <w:r>
        <w:rPr>
          <w:lang w:val="uk-UA"/>
        </w:rPr>
        <w:t xml:space="preserve"> графа; </w:t>
      </w:r>
      <w:r w:rsidR="00411F98" w:rsidRPr="000A0415">
        <w:rPr>
          <w:position w:val="-12"/>
        </w:rPr>
        <w:object w:dxaOrig="360" w:dyaOrig="320" w14:anchorId="4450CE20">
          <v:shape id="_x0000_i1182" type="#_x0000_t75" style="width:18pt;height:16pt" o:ole="">
            <v:imagedata r:id="rId59" o:title=""/>
          </v:shape>
          <o:OLEObject Type="Embed" ProgID="Equation.DSMT4" ShapeID="_x0000_i1182" DrawAspect="Content" ObjectID="_1808427052" r:id="rId60"/>
        </w:object>
      </w:r>
      <w:r w:rsidR="00411F98">
        <w:rPr>
          <w:lang w:val="uk-UA"/>
        </w:rPr>
        <w:t xml:space="preserve"> – </w:t>
      </w:r>
      <w:r w:rsidRPr="00DC6BFC">
        <w:rPr>
          <w:lang w:val="uk-UA"/>
        </w:rPr>
        <w:t>штраф за погіршення якості;</w:t>
      </w:r>
      <w:r w:rsidR="00411F98">
        <w:rPr>
          <w:lang w:val="uk-UA"/>
        </w:rPr>
        <w:t xml:space="preserve"> </w:t>
      </w:r>
      <w:r w:rsidR="00411F98" w:rsidRPr="000A0415">
        <w:rPr>
          <w:position w:val="-10"/>
        </w:rPr>
        <w:object w:dxaOrig="360" w:dyaOrig="300" w14:anchorId="4CC86C8C">
          <v:shape id="_x0000_i1183" type="#_x0000_t75" style="width:18pt;height:15pt" o:ole="">
            <v:imagedata r:id="rId61" o:title=""/>
          </v:shape>
          <o:OLEObject Type="Embed" ProgID="Equation.DSMT4" ShapeID="_x0000_i1183" DrawAspect="Content" ObjectID="_1808427053" r:id="rId62"/>
        </w:object>
      </w:r>
      <w:r w:rsidR="00411F98">
        <w:rPr>
          <w:lang w:val="uk-UA"/>
        </w:rPr>
        <w:t xml:space="preserve"> – </w:t>
      </w:r>
      <w:r w:rsidR="00411F98" w:rsidRPr="00411F98">
        <w:rPr>
          <w:lang w:val="uk-UA"/>
        </w:rPr>
        <w:t xml:space="preserve">приріст </w:t>
      </w:r>
      <w:proofErr w:type="spellStart"/>
      <w:r w:rsidR="00411F98" w:rsidRPr="00411F98">
        <w:rPr>
          <w:lang w:val="uk-UA"/>
        </w:rPr>
        <w:t>міжцентральності</w:t>
      </w:r>
      <w:proofErr w:type="spellEnd"/>
      <w:r w:rsidR="00411F98" w:rsidRPr="00411F98">
        <w:rPr>
          <w:lang w:val="uk-UA"/>
        </w:rPr>
        <w:t>, що</w:t>
      </w:r>
      <w:r w:rsidR="00411F98">
        <w:rPr>
          <w:lang w:val="uk-UA"/>
        </w:rPr>
        <w:t xml:space="preserve"> характеризує</w:t>
      </w:r>
      <w:r w:rsidR="00411F98" w:rsidRPr="00411F98">
        <w:rPr>
          <w:lang w:val="uk-UA"/>
        </w:rPr>
        <w:t xml:space="preserve"> появу «вузького місця»;</w:t>
      </w:r>
      <w:r w:rsidR="00411F98">
        <w:rPr>
          <w:lang w:val="uk-UA"/>
        </w:rPr>
        <w:t xml:space="preserve"> </w:t>
      </w:r>
      <w:r w:rsidR="00411F98" w:rsidRPr="000A0415">
        <w:rPr>
          <w:position w:val="-10"/>
        </w:rPr>
        <w:object w:dxaOrig="400" w:dyaOrig="300" w14:anchorId="229B278D">
          <v:shape id="_x0000_i1186" type="#_x0000_t75" style="width:20pt;height:15pt" o:ole="">
            <v:imagedata r:id="rId63" o:title=""/>
          </v:shape>
          <o:OLEObject Type="Embed" ProgID="Equation.DSMT4" ShapeID="_x0000_i1186" DrawAspect="Content" ObjectID="_1808427054" r:id="rId64"/>
        </w:object>
      </w:r>
      <w:r w:rsidR="00411F98">
        <w:t xml:space="preserve"> – </w:t>
      </w:r>
      <w:r w:rsidR="00411F98" w:rsidRPr="00411F98">
        <w:rPr>
          <w:lang w:val="uk-UA"/>
        </w:rPr>
        <w:t xml:space="preserve">історична мінливість </w:t>
      </w:r>
      <w:r w:rsidR="00411F98">
        <w:rPr>
          <w:lang w:val="uk-UA"/>
        </w:rPr>
        <w:t xml:space="preserve">програмного </w:t>
      </w:r>
      <w:r w:rsidR="00411F98" w:rsidRPr="00411F98">
        <w:rPr>
          <w:lang w:val="uk-UA"/>
        </w:rPr>
        <w:t>коду</w:t>
      </w:r>
      <w:r w:rsidR="00411F98">
        <w:t xml:space="preserve">; </w:t>
      </w:r>
      <w:r w:rsidR="00411F98" w:rsidRPr="000A0415">
        <w:rPr>
          <w:position w:val="-6"/>
        </w:rPr>
        <w:object w:dxaOrig="780" w:dyaOrig="240" w14:anchorId="43434DA8">
          <v:shape id="_x0000_i1189" type="#_x0000_t75" style="width:39pt;height:12pt" o:ole="">
            <v:imagedata r:id="rId65" o:title=""/>
          </v:shape>
          <o:OLEObject Type="Embed" ProgID="Equation.DSMT4" ShapeID="_x0000_i1189" DrawAspect="Content" ObjectID="_1808427055" r:id="rId66"/>
        </w:object>
      </w:r>
      <w:r w:rsidR="00411F98">
        <w:t xml:space="preserve"> – </w:t>
      </w:r>
      <w:r w:rsidR="00411F98">
        <w:rPr>
          <w:lang w:val="uk-UA"/>
        </w:rPr>
        <w:t xml:space="preserve">кількість </w:t>
      </w:r>
      <w:proofErr w:type="spellStart"/>
      <w:r w:rsidR="00411F98">
        <w:rPr>
          <w:lang w:val="uk-UA"/>
        </w:rPr>
        <w:t>комітів</w:t>
      </w:r>
      <w:proofErr w:type="spellEnd"/>
      <w:r w:rsidR="00411F98">
        <w:rPr>
          <w:lang w:val="uk-UA"/>
        </w:rPr>
        <w:t xml:space="preserve"> у програмний код, що реалізує дану вершину за останні 90 днів; </w:t>
      </w:r>
      <w:r w:rsidR="00411F98" w:rsidRPr="00411F98">
        <w:rPr>
          <w:i/>
          <w:iCs/>
          <w:lang w:val="en-US"/>
        </w:rPr>
        <w:t>LOC</w:t>
      </w:r>
      <w:r w:rsidR="00411F98">
        <w:rPr>
          <w:lang w:val="en-US"/>
        </w:rPr>
        <w:t> </w:t>
      </w:r>
      <w:r w:rsidR="00411F98" w:rsidRPr="00411F98">
        <w:rPr>
          <w:lang w:val="uk-UA"/>
        </w:rPr>
        <w:t xml:space="preserve">– </w:t>
      </w:r>
      <w:r w:rsidR="00411F98">
        <w:rPr>
          <w:lang w:val="uk-UA"/>
        </w:rPr>
        <w:t xml:space="preserve">поточна кількість рядків, що </w:t>
      </w:r>
      <w:r w:rsidR="00411F98">
        <w:rPr>
          <w:lang w:val="uk-UA"/>
        </w:rPr>
        <w:t>реалізує дану вершину</w:t>
      </w:r>
      <w:r w:rsidR="00411F98">
        <w:rPr>
          <w:lang w:val="uk-UA"/>
        </w:rPr>
        <w:t>.</w:t>
      </w:r>
    </w:p>
    <w:p w14:paraId="48C06F32" w14:textId="77777777" w:rsidR="009B1242" w:rsidRPr="009B1242" w:rsidRDefault="000C32CD" w:rsidP="009B1242">
      <w:pPr>
        <w:pStyle w:val="a3"/>
        <w:ind w:firstLine="284"/>
        <w:rPr>
          <w:lang w:val="uk-UA"/>
        </w:rPr>
      </w:pPr>
      <w:r>
        <w:rPr>
          <w:lang w:val="uk-UA"/>
        </w:rPr>
        <w:t>Розрахований і</w:t>
      </w:r>
      <w:r w:rsidRPr="0078277C">
        <w:rPr>
          <w:lang w:val="uk-UA"/>
        </w:rPr>
        <w:t>нтегральний індекс ризику</w:t>
      </w:r>
      <w:r w:rsidRPr="000C32CD">
        <w:rPr>
          <w:i/>
          <w:iCs/>
          <w:lang w:val="uk-UA"/>
        </w:rPr>
        <w:t xml:space="preserve"> </w:t>
      </w:r>
      <w:r w:rsidR="00411F98" w:rsidRPr="00411F98">
        <w:rPr>
          <w:i/>
          <w:iCs/>
          <w:lang w:val="en-US"/>
        </w:rPr>
        <w:t>R</w:t>
      </w:r>
      <w:r w:rsidR="00411F98" w:rsidRPr="000C32CD">
        <w:rPr>
          <w:lang w:val="uk-UA"/>
        </w:rPr>
        <w:t xml:space="preserve"> – </w:t>
      </w:r>
      <w:r w:rsidRPr="000C32CD">
        <w:rPr>
          <w:lang w:val="uk-UA"/>
        </w:rPr>
        <w:t xml:space="preserve">це узагальнена, безрозмірна оцінка ймовірності того, що зміни у </w:t>
      </w:r>
      <w:proofErr w:type="spellStart"/>
      <w:r w:rsidRPr="000C32CD">
        <w:rPr>
          <w:lang w:val="uk-UA"/>
        </w:rPr>
        <w:t>вузлі</w:t>
      </w:r>
      <w:proofErr w:type="spellEnd"/>
      <w:r w:rsidRPr="000C32CD">
        <w:rPr>
          <w:lang w:val="uk-UA"/>
        </w:rPr>
        <w:t>  призведуть до дефектів або деградації сервісу після релізу</w:t>
      </w:r>
      <w:r>
        <w:rPr>
          <w:lang w:val="uk-UA"/>
        </w:rPr>
        <w:t xml:space="preserve"> нової версії продукту. Він визначає: я</w:t>
      </w:r>
      <w:r w:rsidRPr="000C32CD">
        <w:rPr>
          <w:lang w:val="uk-UA"/>
        </w:rPr>
        <w:t xml:space="preserve">кість </w:t>
      </w:r>
      <w:r>
        <w:rPr>
          <w:lang w:val="uk-UA"/>
        </w:rPr>
        <w:t xml:space="preserve">майбутнього </w:t>
      </w:r>
      <w:r w:rsidRPr="000C32CD">
        <w:rPr>
          <w:lang w:val="uk-UA"/>
        </w:rPr>
        <w:t>релізу</w:t>
      </w:r>
      <w:r>
        <w:rPr>
          <w:lang w:val="uk-UA"/>
        </w:rPr>
        <w:t xml:space="preserve"> – ф</w:t>
      </w:r>
      <w:r w:rsidRPr="000C32CD">
        <w:rPr>
          <w:lang w:val="uk-UA"/>
        </w:rPr>
        <w:t xml:space="preserve">окус на вузлах </w:t>
      </w:r>
      <w:r>
        <w:rPr>
          <w:lang w:val="uk-UA"/>
        </w:rPr>
        <w:t>з високим показником під час розробки нової версії продукту може</w:t>
      </w:r>
      <w:r w:rsidRPr="000C32CD">
        <w:rPr>
          <w:lang w:val="uk-UA"/>
        </w:rPr>
        <w:t xml:space="preserve"> зменш</w:t>
      </w:r>
      <w:r>
        <w:rPr>
          <w:lang w:val="uk-UA"/>
        </w:rPr>
        <w:t>ити кількість</w:t>
      </w:r>
      <w:r w:rsidRPr="000C32CD">
        <w:rPr>
          <w:lang w:val="uk-UA"/>
        </w:rPr>
        <w:t xml:space="preserve"> дефектів у </w:t>
      </w:r>
      <w:proofErr w:type="spellStart"/>
      <w:r w:rsidRPr="000C32CD">
        <w:rPr>
          <w:lang w:val="uk-UA"/>
        </w:rPr>
        <w:t>продакшн</w:t>
      </w:r>
      <w:proofErr w:type="spellEnd"/>
      <w:r w:rsidRPr="000C32CD">
        <w:rPr>
          <w:lang w:val="uk-UA"/>
        </w:rPr>
        <w:t>‑середовищі</w:t>
      </w:r>
      <w:r>
        <w:rPr>
          <w:lang w:val="uk-UA"/>
        </w:rPr>
        <w:t xml:space="preserve">; швидкість виходу у </w:t>
      </w:r>
      <w:proofErr w:type="spellStart"/>
      <w:r>
        <w:rPr>
          <w:lang w:val="uk-UA"/>
        </w:rPr>
        <w:t>продакшин</w:t>
      </w:r>
      <w:proofErr w:type="spellEnd"/>
      <w:r>
        <w:rPr>
          <w:lang w:val="uk-UA"/>
        </w:rPr>
        <w:t xml:space="preserve"> – чітка </w:t>
      </w:r>
      <w:proofErr w:type="spellStart"/>
      <w:r>
        <w:rPr>
          <w:lang w:val="uk-UA"/>
        </w:rPr>
        <w:t>пріоретизація</w:t>
      </w:r>
      <w:proofErr w:type="spellEnd"/>
      <w:r>
        <w:rPr>
          <w:lang w:val="uk-UA"/>
        </w:rPr>
        <w:t xml:space="preserve"> задач дає можливість час регресійного тестування; планування майбутніх релізів – н</w:t>
      </w:r>
      <w:r w:rsidRPr="000C32CD">
        <w:rPr>
          <w:lang w:val="uk-UA"/>
        </w:rPr>
        <w:t xml:space="preserve">акопичувальна статистика </w:t>
      </w:r>
      <w:r>
        <w:rPr>
          <w:lang w:val="uk-UA"/>
        </w:rPr>
        <w:t>даного показника</w:t>
      </w:r>
      <w:r w:rsidRPr="000C32CD">
        <w:rPr>
          <w:lang w:val="uk-UA"/>
        </w:rPr>
        <w:t xml:space="preserve"> </w:t>
      </w:r>
      <w:r>
        <w:rPr>
          <w:lang w:val="uk-UA"/>
        </w:rPr>
        <w:t xml:space="preserve">від релізу до релізу </w:t>
      </w:r>
      <w:r w:rsidRPr="000C32CD">
        <w:rPr>
          <w:lang w:val="uk-UA"/>
        </w:rPr>
        <w:t xml:space="preserve">показує які частини </w:t>
      </w:r>
      <w:r>
        <w:rPr>
          <w:lang w:val="uk-UA"/>
        </w:rPr>
        <w:t>програмного продукту</w:t>
      </w:r>
      <w:r w:rsidRPr="000C32CD">
        <w:rPr>
          <w:lang w:val="uk-UA"/>
        </w:rPr>
        <w:t xml:space="preserve"> </w:t>
      </w:r>
      <w:r>
        <w:rPr>
          <w:lang w:val="uk-UA"/>
        </w:rPr>
        <w:t>падають в якості чи взагалі</w:t>
      </w:r>
      <w:r w:rsidRPr="000C32CD">
        <w:rPr>
          <w:lang w:val="uk-UA"/>
        </w:rPr>
        <w:t xml:space="preserve"> потребують переробки</w:t>
      </w:r>
      <w:r>
        <w:rPr>
          <w:lang w:val="uk-UA"/>
        </w:rPr>
        <w:t>.</w:t>
      </w:r>
      <w:r w:rsidR="009B1242">
        <w:rPr>
          <w:lang w:val="uk-UA"/>
        </w:rPr>
        <w:t xml:space="preserve"> </w:t>
      </w:r>
      <w:r w:rsidR="009B1242" w:rsidRPr="009B1242">
        <w:rPr>
          <w:lang w:val="uk-UA"/>
        </w:rPr>
        <w:t>Індекс може використовуватись у CI/CD</w:t>
      </w:r>
      <w:r w:rsidR="009B1242" w:rsidRPr="009B1242">
        <w:rPr>
          <w:lang w:val="uk-UA"/>
        </w:rPr>
        <w:noBreakHyphen/>
        <w:t>конвеєрі, плануванні тестування та управлінні технічним боргом без залучення статичного аналізу коду.</w:t>
      </w:r>
    </w:p>
    <w:p w14:paraId="2CC3D1BE" w14:textId="64C4C359" w:rsidR="009B1242" w:rsidRPr="00562D24" w:rsidRDefault="009B1242" w:rsidP="009B1242">
      <w:pPr>
        <w:keepNext/>
        <w:keepLines/>
        <w:tabs>
          <w:tab w:val="left" w:pos="216"/>
        </w:tabs>
        <w:spacing w:before="120"/>
        <w:outlineLvl w:val="0"/>
        <w:rPr>
          <w:rFonts w:eastAsia="MS Mincho"/>
          <w:bCs/>
          <w:smallCaps/>
          <w:kern w:val="32"/>
          <w:lang w:val="uk-UA" w:eastAsia="x-none"/>
        </w:rPr>
      </w:pPr>
      <w:r w:rsidRPr="00562D24">
        <w:rPr>
          <w:rFonts w:eastAsia="MS Mincho"/>
          <w:bCs/>
          <w:smallCaps/>
          <w:kern w:val="32"/>
          <w:lang w:val="uk-UA" w:eastAsia="x-none"/>
        </w:rPr>
        <w:t>В</w:t>
      </w:r>
      <w:r>
        <w:rPr>
          <w:rFonts w:eastAsia="MS Mincho"/>
          <w:bCs/>
          <w:smallCaps/>
          <w:kern w:val="32"/>
          <w:lang w:val="uk-UA" w:eastAsia="x-none"/>
        </w:rPr>
        <w:t>исновки</w:t>
      </w:r>
    </w:p>
    <w:p w14:paraId="626D272D" w14:textId="69386549" w:rsidR="00DE0414" w:rsidRPr="00DC6BFC" w:rsidRDefault="00DE0414" w:rsidP="0078277C">
      <w:pPr>
        <w:pStyle w:val="a3"/>
        <w:spacing w:after="0" w:line="240" w:lineRule="auto"/>
        <w:ind w:firstLine="284"/>
        <w:rPr>
          <w:lang w:val="uk-UA"/>
        </w:rPr>
      </w:pPr>
      <w:proofErr w:type="spellStart"/>
      <w:r w:rsidRPr="00DE0414">
        <w:rPr>
          <w:lang w:val="ru-RU"/>
        </w:rPr>
        <w:t>Запропоновано</w:t>
      </w:r>
      <w:proofErr w:type="spellEnd"/>
      <w:r w:rsidRPr="00DE0414">
        <w:rPr>
          <w:lang w:val="ru-RU"/>
        </w:rPr>
        <w:t xml:space="preserve"> метод </w:t>
      </w:r>
      <w:proofErr w:type="spellStart"/>
      <w:r w:rsidRPr="00DE0414">
        <w:rPr>
          <w:lang w:val="ru-RU"/>
        </w:rPr>
        <w:t>обчислення</w:t>
      </w:r>
      <w:proofErr w:type="spellEnd"/>
      <w:r w:rsidRPr="00DE0414">
        <w:rPr>
          <w:lang w:val="ru-RU"/>
        </w:rPr>
        <w:t xml:space="preserve"> </w:t>
      </w:r>
      <w:proofErr w:type="spellStart"/>
      <w:r w:rsidRPr="00DE0414">
        <w:rPr>
          <w:lang w:val="ru-RU"/>
        </w:rPr>
        <w:t>інтегрального</w:t>
      </w:r>
      <w:proofErr w:type="spellEnd"/>
      <w:r w:rsidRPr="00DE0414">
        <w:rPr>
          <w:lang w:val="ru-RU"/>
        </w:rPr>
        <w:t xml:space="preserve"> </w:t>
      </w:r>
      <w:proofErr w:type="spellStart"/>
      <w:r w:rsidRPr="00DE0414">
        <w:rPr>
          <w:lang w:val="ru-RU"/>
        </w:rPr>
        <w:t>індексу</w:t>
      </w:r>
      <w:proofErr w:type="spellEnd"/>
      <w:r w:rsidRPr="00DE0414">
        <w:rPr>
          <w:lang w:val="ru-RU"/>
        </w:rPr>
        <w:t xml:space="preserve"> </w:t>
      </w:r>
      <w:proofErr w:type="spellStart"/>
      <w:r w:rsidRPr="00DE0414">
        <w:rPr>
          <w:lang w:val="ru-RU"/>
        </w:rPr>
        <w:t>ризику</w:t>
      </w:r>
      <w:proofErr w:type="spellEnd"/>
      <w:r w:rsidRPr="00DE0414">
        <w:rPr>
          <w:lang w:val="ru-RU"/>
        </w:rPr>
        <w:t xml:space="preserve"> </w:t>
      </w:r>
      <w:proofErr w:type="spellStart"/>
      <w:r w:rsidRPr="00DE0414">
        <w:rPr>
          <w:lang w:val="ru-RU"/>
        </w:rPr>
        <w:t>змін</w:t>
      </w:r>
      <w:proofErr w:type="spellEnd"/>
      <w:r w:rsidRPr="00DE0414">
        <w:rPr>
          <w:lang w:val="ru-RU"/>
        </w:rPr>
        <w:t xml:space="preserve"> у </w:t>
      </w:r>
      <w:proofErr w:type="spellStart"/>
      <w:r w:rsidRPr="00DE0414">
        <w:rPr>
          <w:lang w:val="ru-RU"/>
        </w:rPr>
        <w:t>програмному</w:t>
      </w:r>
      <w:proofErr w:type="spellEnd"/>
      <w:r w:rsidRPr="00DE0414">
        <w:rPr>
          <w:lang w:val="ru-RU"/>
        </w:rPr>
        <w:t xml:space="preserve"> </w:t>
      </w:r>
      <w:proofErr w:type="spellStart"/>
      <w:r w:rsidRPr="00DE0414">
        <w:rPr>
          <w:lang w:val="ru-RU"/>
        </w:rPr>
        <w:t>продукті</w:t>
      </w:r>
      <w:proofErr w:type="spellEnd"/>
      <w:r w:rsidRPr="00DE0414">
        <w:rPr>
          <w:lang w:val="ru-RU"/>
        </w:rPr>
        <w:t xml:space="preserve">. Метод </w:t>
      </w:r>
      <w:proofErr w:type="spellStart"/>
      <w:r w:rsidRPr="00DE0414">
        <w:rPr>
          <w:lang w:val="ru-RU"/>
        </w:rPr>
        <w:t>поєднує</w:t>
      </w:r>
      <w:proofErr w:type="spellEnd"/>
      <w:r w:rsidRPr="00DE0414">
        <w:rPr>
          <w:lang w:val="ru-RU"/>
        </w:rPr>
        <w:t xml:space="preserve"> </w:t>
      </w:r>
      <w:proofErr w:type="spellStart"/>
      <w:r w:rsidRPr="00DE0414">
        <w:rPr>
          <w:lang w:val="ru-RU"/>
        </w:rPr>
        <w:t>порівняння</w:t>
      </w:r>
      <w:proofErr w:type="spellEnd"/>
      <w:r w:rsidRPr="00DE0414">
        <w:rPr>
          <w:lang w:val="ru-RU"/>
        </w:rPr>
        <w:t xml:space="preserve"> </w:t>
      </w:r>
      <w:proofErr w:type="spellStart"/>
      <w:r w:rsidRPr="00DE0414">
        <w:rPr>
          <w:lang w:val="ru-RU"/>
        </w:rPr>
        <w:t>двох</w:t>
      </w:r>
      <w:proofErr w:type="spellEnd"/>
      <w:r w:rsidRPr="00DE0414">
        <w:rPr>
          <w:lang w:val="ru-RU"/>
        </w:rPr>
        <w:t xml:space="preserve"> </w:t>
      </w:r>
      <w:proofErr w:type="spellStart"/>
      <w:r w:rsidRPr="00DE0414">
        <w:rPr>
          <w:lang w:val="ru-RU"/>
        </w:rPr>
        <w:t>версій</w:t>
      </w:r>
      <w:proofErr w:type="spellEnd"/>
      <w:r w:rsidRPr="00DE0414">
        <w:rPr>
          <w:lang w:val="ru-RU"/>
        </w:rPr>
        <w:t xml:space="preserve"> </w:t>
      </w:r>
      <w:proofErr w:type="spellStart"/>
      <w:r w:rsidRPr="00DE0414">
        <w:rPr>
          <w:lang w:val="ru-RU"/>
        </w:rPr>
        <w:t>графової</w:t>
      </w:r>
      <w:proofErr w:type="spellEnd"/>
      <w:r w:rsidRPr="00DE0414">
        <w:rPr>
          <w:lang w:val="ru-RU"/>
        </w:rPr>
        <w:t xml:space="preserve"> </w:t>
      </w:r>
      <w:proofErr w:type="spellStart"/>
      <w:r w:rsidRPr="00DE0414">
        <w:rPr>
          <w:lang w:val="ru-RU"/>
        </w:rPr>
        <w:t>моделі</w:t>
      </w:r>
      <w:proofErr w:type="spellEnd"/>
      <w:r w:rsidRPr="00DE0414">
        <w:rPr>
          <w:lang w:val="ru-RU"/>
        </w:rPr>
        <w:t xml:space="preserve">, </w:t>
      </w:r>
      <w:proofErr w:type="spellStart"/>
      <w:r w:rsidRPr="00DE0414">
        <w:rPr>
          <w:lang w:val="ru-RU"/>
        </w:rPr>
        <w:t>що</w:t>
      </w:r>
      <w:proofErr w:type="spellEnd"/>
      <w:r w:rsidRPr="00DE0414">
        <w:rPr>
          <w:lang w:val="ru-RU"/>
        </w:rPr>
        <w:t xml:space="preserve"> </w:t>
      </w:r>
      <w:proofErr w:type="spellStart"/>
      <w:r w:rsidRPr="00DE0414">
        <w:rPr>
          <w:lang w:val="ru-RU"/>
        </w:rPr>
        <w:t>генеруються</w:t>
      </w:r>
      <w:proofErr w:type="spellEnd"/>
      <w:r w:rsidRPr="00DE0414">
        <w:rPr>
          <w:lang w:val="ru-RU"/>
        </w:rPr>
        <w:t xml:space="preserve"> з </w:t>
      </w:r>
      <w:proofErr w:type="spellStart"/>
      <w:r w:rsidRPr="00DE0414">
        <w:rPr>
          <w:lang w:val="ru-RU"/>
        </w:rPr>
        <w:t>технічної</w:t>
      </w:r>
      <w:proofErr w:type="spellEnd"/>
      <w:r w:rsidRPr="00DE0414">
        <w:rPr>
          <w:lang w:val="ru-RU"/>
        </w:rPr>
        <w:t xml:space="preserve"> </w:t>
      </w:r>
      <w:proofErr w:type="spellStart"/>
      <w:r w:rsidRPr="00DE0414">
        <w:rPr>
          <w:lang w:val="ru-RU"/>
        </w:rPr>
        <w:t>документації</w:t>
      </w:r>
      <w:proofErr w:type="spellEnd"/>
      <w:r w:rsidRPr="00DE0414">
        <w:rPr>
          <w:lang w:val="ru-RU"/>
        </w:rPr>
        <w:t xml:space="preserve">, та три </w:t>
      </w:r>
      <w:proofErr w:type="spellStart"/>
      <w:r w:rsidRPr="00DE0414">
        <w:rPr>
          <w:lang w:val="ru-RU"/>
        </w:rPr>
        <w:t>кількісні</w:t>
      </w:r>
      <w:proofErr w:type="spellEnd"/>
      <w:r w:rsidRPr="00DE0414">
        <w:rPr>
          <w:lang w:val="ru-RU"/>
        </w:rPr>
        <w:t xml:space="preserve"> </w:t>
      </w:r>
      <w:proofErr w:type="spellStart"/>
      <w:r w:rsidRPr="00DE0414">
        <w:rPr>
          <w:lang w:val="ru-RU"/>
        </w:rPr>
        <w:t>показники</w:t>
      </w:r>
      <w:proofErr w:type="spellEnd"/>
      <w:r w:rsidRPr="00DE0414">
        <w:rPr>
          <w:lang w:val="ru-RU"/>
        </w:rPr>
        <w:t xml:space="preserve"> </w:t>
      </w:r>
      <w:proofErr w:type="spellStart"/>
      <w:r w:rsidRPr="00DE0414">
        <w:rPr>
          <w:lang w:val="ru-RU"/>
        </w:rPr>
        <w:t>якості</w:t>
      </w:r>
      <w:proofErr w:type="spellEnd"/>
      <w:r w:rsidRPr="00DE0414">
        <w:rPr>
          <w:lang w:val="ru-RU"/>
        </w:rPr>
        <w:t xml:space="preserve"> </w:t>
      </w:r>
      <w:proofErr w:type="spellStart"/>
      <w:r w:rsidRPr="00DE0414">
        <w:rPr>
          <w:lang w:val="ru-RU"/>
        </w:rPr>
        <w:t>програмного</w:t>
      </w:r>
      <w:proofErr w:type="spellEnd"/>
      <w:r w:rsidRPr="00DE0414">
        <w:rPr>
          <w:lang w:val="ru-RU"/>
        </w:rPr>
        <w:t xml:space="preserve"> продукту </w:t>
      </w:r>
      <w:proofErr w:type="spellStart"/>
      <w:r w:rsidR="009B1242" w:rsidRPr="00DE0414">
        <w:rPr>
          <w:lang w:val="ru-RU"/>
        </w:rPr>
        <w:t>відповідно</w:t>
      </w:r>
      <w:proofErr w:type="spellEnd"/>
      <w:r w:rsidR="009B1242" w:rsidRPr="00DE0414">
        <w:rPr>
          <w:lang w:val="ru-RU"/>
        </w:rPr>
        <w:t xml:space="preserve"> </w:t>
      </w:r>
      <w:proofErr w:type="gramStart"/>
      <w:r w:rsidR="009B1242" w:rsidRPr="00DE0414">
        <w:rPr>
          <w:lang w:val="ru-RU"/>
        </w:rPr>
        <w:t>до стандарту</w:t>
      </w:r>
      <w:proofErr w:type="gramEnd"/>
      <w:r w:rsidR="009B1242" w:rsidRPr="00DE0414">
        <w:rPr>
          <w:lang w:val="ru-RU"/>
        </w:rPr>
        <w:t xml:space="preserve"> </w:t>
      </w:r>
      <w:r w:rsidR="009B1242" w:rsidRPr="00DE0414">
        <w:rPr>
          <w:lang w:val="en-US"/>
        </w:rPr>
        <w:t>ISO</w:t>
      </w:r>
      <w:r w:rsidR="009B1242" w:rsidRPr="00DE0414">
        <w:rPr>
          <w:lang w:val="ru-RU"/>
        </w:rPr>
        <w:t>/</w:t>
      </w:r>
      <w:r w:rsidR="009B1242" w:rsidRPr="00DE0414">
        <w:rPr>
          <w:lang w:val="en-US"/>
        </w:rPr>
        <w:t>IEC</w:t>
      </w:r>
      <w:r w:rsidR="009B1242" w:rsidRPr="00DE0414">
        <w:rPr>
          <w:lang w:val="ru-RU"/>
        </w:rPr>
        <w:t> 25010</w:t>
      </w:r>
      <w:r w:rsidR="009B1242">
        <w:rPr>
          <w:lang w:val="ru-RU"/>
        </w:rPr>
        <w:t xml:space="preserve">: </w:t>
      </w:r>
      <w:proofErr w:type="spellStart"/>
      <w:r w:rsidR="009B1242" w:rsidRPr="009B1242">
        <w:rPr>
          <w:lang w:val="ru-RU"/>
        </w:rPr>
        <w:t>ефективність</w:t>
      </w:r>
      <w:proofErr w:type="spellEnd"/>
      <w:r w:rsidR="009B1242" w:rsidRPr="009B1242">
        <w:rPr>
          <w:lang w:val="ru-RU"/>
        </w:rPr>
        <w:t xml:space="preserve"> </w:t>
      </w:r>
      <w:proofErr w:type="spellStart"/>
      <w:r w:rsidR="009B1242" w:rsidRPr="009B1242">
        <w:rPr>
          <w:lang w:val="ru-RU"/>
        </w:rPr>
        <w:t>продуктивності</w:t>
      </w:r>
      <w:proofErr w:type="spellEnd"/>
      <w:r w:rsidR="009B1242" w:rsidRPr="009B1242">
        <w:rPr>
          <w:lang w:val="ru-RU"/>
        </w:rPr>
        <w:t xml:space="preserve">, </w:t>
      </w:r>
      <w:proofErr w:type="spellStart"/>
      <w:r w:rsidR="009B1242" w:rsidRPr="009B1242">
        <w:rPr>
          <w:lang w:val="ru-RU"/>
        </w:rPr>
        <w:t>надійність</w:t>
      </w:r>
      <w:proofErr w:type="spellEnd"/>
      <w:r w:rsidR="009B1242" w:rsidRPr="009B1242">
        <w:rPr>
          <w:lang w:val="ru-RU"/>
        </w:rPr>
        <w:t xml:space="preserve"> і </w:t>
      </w:r>
      <w:proofErr w:type="spellStart"/>
      <w:r w:rsidR="009B1242" w:rsidRPr="009B1242">
        <w:rPr>
          <w:lang w:val="ru-RU"/>
        </w:rPr>
        <w:t>підтримуваність</w:t>
      </w:r>
      <w:proofErr w:type="spellEnd"/>
      <w:r w:rsidRPr="00DE0414">
        <w:rPr>
          <w:lang w:val="ru-RU"/>
        </w:rPr>
        <w:t xml:space="preserve">. </w:t>
      </w:r>
      <w:proofErr w:type="spellStart"/>
      <w:r w:rsidRPr="00DE0414">
        <w:rPr>
          <w:lang w:val="ru-RU"/>
        </w:rPr>
        <w:t>Отриманий</w:t>
      </w:r>
      <w:proofErr w:type="spellEnd"/>
      <w:r w:rsidRPr="00DE0414">
        <w:rPr>
          <w:lang w:val="ru-RU"/>
        </w:rPr>
        <w:t xml:space="preserve"> </w:t>
      </w:r>
      <w:proofErr w:type="spellStart"/>
      <w:r w:rsidR="009B1242">
        <w:rPr>
          <w:lang w:val="ru-RU"/>
        </w:rPr>
        <w:t>показник</w:t>
      </w:r>
      <w:proofErr w:type="spellEnd"/>
      <w:r w:rsidR="009B1242">
        <w:rPr>
          <w:lang w:val="ru-RU"/>
        </w:rPr>
        <w:t xml:space="preserve"> </w:t>
      </w:r>
      <w:proofErr w:type="spellStart"/>
      <w:r w:rsidRPr="00DE0414">
        <w:rPr>
          <w:lang w:val="ru-RU"/>
        </w:rPr>
        <w:t>дозволяє</w:t>
      </w:r>
      <w:proofErr w:type="spellEnd"/>
      <w:r w:rsidRPr="00DE0414">
        <w:rPr>
          <w:lang w:val="ru-RU"/>
        </w:rPr>
        <w:t xml:space="preserve"> ло</w:t>
      </w:r>
      <w:proofErr w:type="spellStart"/>
      <w:r w:rsidRPr="00DE0414">
        <w:rPr>
          <w:lang w:val="ru-RU"/>
        </w:rPr>
        <w:t>калізувати</w:t>
      </w:r>
      <w:proofErr w:type="spellEnd"/>
      <w:r w:rsidRPr="00DE0414">
        <w:rPr>
          <w:lang w:val="ru-RU"/>
        </w:rPr>
        <w:t xml:space="preserve"> </w:t>
      </w:r>
      <w:proofErr w:type="spellStart"/>
      <w:r w:rsidRPr="00DE0414">
        <w:rPr>
          <w:lang w:val="ru-RU"/>
        </w:rPr>
        <w:t>найбільш</w:t>
      </w:r>
      <w:proofErr w:type="spellEnd"/>
      <w:r w:rsidRPr="00DE0414">
        <w:rPr>
          <w:lang w:val="ru-RU"/>
        </w:rPr>
        <w:t xml:space="preserve"> </w:t>
      </w:r>
      <w:proofErr w:type="spellStart"/>
      <w:r w:rsidRPr="00DE0414">
        <w:rPr>
          <w:lang w:val="ru-RU"/>
        </w:rPr>
        <w:t>ризикові</w:t>
      </w:r>
      <w:proofErr w:type="spellEnd"/>
      <w:r w:rsidRPr="00DE0414">
        <w:rPr>
          <w:lang w:val="ru-RU"/>
        </w:rPr>
        <w:t xml:space="preserve"> </w:t>
      </w:r>
      <w:proofErr w:type="spellStart"/>
      <w:r w:rsidRPr="00DE0414">
        <w:rPr>
          <w:lang w:val="ru-RU"/>
        </w:rPr>
        <w:t>вузли</w:t>
      </w:r>
      <w:proofErr w:type="spellEnd"/>
      <w:r w:rsidRPr="00DE0414">
        <w:rPr>
          <w:lang w:val="ru-RU"/>
        </w:rPr>
        <w:t xml:space="preserve"> для </w:t>
      </w:r>
      <w:proofErr w:type="spellStart"/>
      <w:r w:rsidRPr="00DE0414">
        <w:rPr>
          <w:lang w:val="ru-RU"/>
        </w:rPr>
        <w:t>пріоритетного</w:t>
      </w:r>
      <w:proofErr w:type="spellEnd"/>
      <w:r w:rsidRPr="00DE0414">
        <w:rPr>
          <w:lang w:val="ru-RU"/>
        </w:rPr>
        <w:t xml:space="preserve"> </w:t>
      </w:r>
      <w:proofErr w:type="spellStart"/>
      <w:r w:rsidRPr="00DE0414">
        <w:rPr>
          <w:lang w:val="ru-RU"/>
        </w:rPr>
        <w:t>тестування</w:t>
      </w:r>
      <w:proofErr w:type="spellEnd"/>
      <w:r w:rsidRPr="00DE0414">
        <w:rPr>
          <w:lang w:val="ru-RU"/>
        </w:rPr>
        <w:t>, код</w:t>
      </w:r>
      <w:r w:rsidRPr="00DE0414">
        <w:rPr>
          <w:lang w:val="ru-RU"/>
        </w:rPr>
        <w:noBreakHyphen/>
      </w:r>
      <w:proofErr w:type="spellStart"/>
      <w:r w:rsidRPr="00DE0414">
        <w:rPr>
          <w:lang w:val="ru-RU"/>
        </w:rPr>
        <w:t>рев’ю</w:t>
      </w:r>
      <w:proofErr w:type="spellEnd"/>
      <w:r w:rsidRPr="00DE0414">
        <w:rPr>
          <w:lang w:val="ru-RU"/>
        </w:rPr>
        <w:t xml:space="preserve"> та </w:t>
      </w:r>
      <w:proofErr w:type="spellStart"/>
      <w:r w:rsidRPr="00DE0414">
        <w:rPr>
          <w:lang w:val="ru-RU"/>
        </w:rPr>
        <w:t>планування</w:t>
      </w:r>
      <w:proofErr w:type="spellEnd"/>
      <w:r w:rsidRPr="00DE0414">
        <w:rPr>
          <w:lang w:val="ru-RU"/>
        </w:rPr>
        <w:t xml:space="preserve"> </w:t>
      </w:r>
      <w:proofErr w:type="spellStart"/>
      <w:r w:rsidRPr="00DE0414">
        <w:rPr>
          <w:lang w:val="ru-RU"/>
        </w:rPr>
        <w:t>технічного</w:t>
      </w:r>
      <w:proofErr w:type="spellEnd"/>
      <w:r w:rsidRPr="00DE0414">
        <w:rPr>
          <w:lang w:val="ru-RU"/>
        </w:rPr>
        <w:t xml:space="preserve"> боргу.</w:t>
      </w:r>
    </w:p>
    <w:p w14:paraId="600AA95B" w14:textId="77777777" w:rsidR="0078277C" w:rsidRPr="00BA643E" w:rsidRDefault="0078277C" w:rsidP="00FE219D">
      <w:pPr>
        <w:pStyle w:val="a3"/>
        <w:ind w:firstLine="0"/>
        <w:rPr>
          <w:lang w:val="uk-UA"/>
        </w:rPr>
      </w:pPr>
    </w:p>
    <w:p w14:paraId="156DE45D" w14:textId="77777777" w:rsidR="00A5657C" w:rsidRPr="0078277C" w:rsidRDefault="00A5657C" w:rsidP="00DA0DDA">
      <w:pPr>
        <w:pStyle w:val="references"/>
        <w:numPr>
          <w:ilvl w:val="0"/>
          <w:numId w:val="0"/>
        </w:numPr>
        <w:spacing w:line="240" w:lineRule="auto"/>
        <w:rPr>
          <w:rFonts w:eastAsia="MS Mincho"/>
          <w:lang w:val="uk-UA"/>
        </w:rPr>
        <w:sectPr w:rsidR="00A5657C" w:rsidRPr="0078277C" w:rsidSect="005F04AE">
          <w:type w:val="continuous"/>
          <w:pgSz w:w="11909" w:h="16834" w:code="9"/>
          <w:pgMar w:top="851" w:right="731" w:bottom="1418" w:left="731" w:header="720" w:footer="720" w:gutter="0"/>
          <w:cols w:num="2" w:space="360"/>
          <w:docGrid w:linePitch="360"/>
        </w:sectPr>
      </w:pPr>
    </w:p>
    <w:p w14:paraId="33DE8E31" w14:textId="77777777" w:rsidR="008A55B5" w:rsidRPr="0078277C" w:rsidRDefault="008A55B5" w:rsidP="002B4267">
      <w:pPr>
        <w:rPr>
          <w:lang w:val="uk-UA"/>
        </w:rPr>
      </w:pPr>
    </w:p>
    <w:sectPr w:rsidR="008A55B5" w:rsidRPr="0078277C" w:rsidSect="006C4648">
      <w:headerReference w:type="default" r:id="rId67"/>
      <w:footerReference w:type="default" r:id="rId6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3F5" w14:textId="77777777" w:rsidR="00CB5E3A" w:rsidRDefault="00CB5E3A" w:rsidP="003E0ED2">
      <w:r>
        <w:separator/>
      </w:r>
    </w:p>
  </w:endnote>
  <w:endnote w:type="continuationSeparator" w:id="0">
    <w:p w14:paraId="603CEB6F" w14:textId="77777777" w:rsidR="00CB5E3A" w:rsidRDefault="00CB5E3A"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6A0E" w14:textId="77777777" w:rsidR="00DA0DDA" w:rsidRDefault="00DA0DDA" w:rsidP="00782CD9">
    <w:pPr>
      <w:pStyle w:val="a7"/>
      <w:pBdr>
        <w:bottom w:val="single" w:sz="8" w:space="1" w:color="009900"/>
      </w:pBdr>
      <w:jc w:val="both"/>
      <w:rPr>
        <w:b/>
        <w:i/>
        <w:color w:val="009900"/>
        <w:sz w:val="22"/>
        <w:szCs w:val="22"/>
        <w:lang w:val="ru-RU" w:eastAsia="ru-RU"/>
      </w:rPr>
    </w:pPr>
  </w:p>
  <w:tbl>
    <w:tblPr>
      <w:tblW w:w="0" w:type="auto"/>
      <w:tblLook w:val="04A0" w:firstRow="1" w:lastRow="0" w:firstColumn="1" w:lastColumn="0" w:noHBand="0" w:noVBand="1"/>
    </w:tblPr>
    <w:tblGrid>
      <w:gridCol w:w="8991"/>
      <w:gridCol w:w="1456"/>
    </w:tblGrid>
    <w:tr w:rsidR="00DA0DDA" w:rsidRPr="00FE4AC3" w14:paraId="281A4F70" w14:textId="77777777" w:rsidTr="00782CD9">
      <w:tc>
        <w:tcPr>
          <w:tcW w:w="9180" w:type="dxa"/>
        </w:tcPr>
        <w:p w14:paraId="26BD4C2A" w14:textId="77777777" w:rsidR="00DA0DDA" w:rsidRPr="00CE309F" w:rsidRDefault="000557FF" w:rsidP="00CE309F">
          <w:pPr>
            <w:pStyle w:val="a7"/>
            <w:jc w:val="both"/>
            <w:rPr>
              <w:b/>
              <w:i/>
              <w:color w:val="009900"/>
              <w:sz w:val="22"/>
              <w:szCs w:val="22"/>
              <w:lang w:eastAsia="ru-RU"/>
            </w:rPr>
          </w:pPr>
          <w:r>
            <w:rPr>
              <w:b/>
              <w:i/>
              <w:color w:val="009900"/>
              <w:sz w:val="22"/>
              <w:szCs w:val="22"/>
              <w:lang w:val="ru-RU" w:eastAsia="ru-RU"/>
            </w:rPr>
            <w:t xml:space="preserve">Международная научно-техническая конференция </w:t>
          </w:r>
          <w:r w:rsidRPr="000557FF">
            <w:rPr>
              <w:b/>
              <w:i/>
              <w:color w:val="009900"/>
              <w:sz w:val="22"/>
              <w:szCs w:val="22"/>
              <w:lang w:val="ru-RU" w:eastAsia="ru-RU"/>
            </w:rPr>
            <w:t>“</w:t>
          </w:r>
          <w:r>
            <w:rPr>
              <w:b/>
              <w:i/>
              <w:color w:val="009900"/>
              <w:sz w:val="22"/>
              <w:szCs w:val="22"/>
              <w:lang w:val="ru-RU" w:eastAsia="ru-RU"/>
            </w:rPr>
            <w:t>Пром-Инжиниринг</w:t>
          </w:r>
          <w:r w:rsidRPr="000557FF">
            <w:rPr>
              <w:b/>
              <w:i/>
              <w:color w:val="009900"/>
              <w:sz w:val="22"/>
              <w:szCs w:val="22"/>
              <w:lang w:val="ru-RU" w:eastAsia="ru-RU"/>
            </w:rPr>
            <w:t>”</w:t>
          </w:r>
          <w:r w:rsidR="0066497E">
            <w:rPr>
              <w:b/>
              <w:i/>
              <w:color w:val="009900"/>
              <w:sz w:val="22"/>
              <w:szCs w:val="22"/>
              <w:lang w:val="ru-RU" w:eastAsia="ru-RU"/>
            </w:rPr>
            <w:t>. 20</w:t>
          </w:r>
          <w:r w:rsidR="00CE309F">
            <w:rPr>
              <w:b/>
              <w:i/>
              <w:color w:val="009900"/>
              <w:sz w:val="22"/>
              <w:szCs w:val="22"/>
              <w:lang w:eastAsia="ru-RU"/>
            </w:rPr>
            <w:t>15</w:t>
          </w:r>
        </w:p>
      </w:tc>
      <w:tc>
        <w:tcPr>
          <w:tcW w:w="1483" w:type="dxa"/>
        </w:tcPr>
        <w:p w14:paraId="471FC01F" w14:textId="77777777" w:rsidR="00DA0DDA" w:rsidRPr="00FE4AC3" w:rsidRDefault="00DA0DDA" w:rsidP="00782CD9">
          <w:pPr>
            <w:pStyle w:val="a7"/>
            <w:jc w:val="right"/>
            <w:rPr>
              <w:b/>
              <w:i/>
              <w:color w:val="009900"/>
              <w:sz w:val="22"/>
              <w:szCs w:val="22"/>
              <w:lang w:val="ru-RU" w:eastAsia="ru-RU"/>
            </w:rPr>
          </w:pPr>
          <w:r w:rsidRPr="00FE4AC3">
            <w:rPr>
              <w:b/>
              <w:i/>
              <w:color w:val="009900"/>
              <w:sz w:val="22"/>
              <w:szCs w:val="22"/>
              <w:lang w:val="ru-RU" w:eastAsia="ru-RU"/>
            </w:rPr>
            <w:fldChar w:fldCharType="begin"/>
          </w:r>
          <w:r w:rsidRPr="00FE4AC3">
            <w:rPr>
              <w:b/>
              <w:i/>
              <w:color w:val="009900"/>
              <w:sz w:val="22"/>
              <w:szCs w:val="22"/>
              <w:lang w:val="ru-RU" w:eastAsia="ru-RU"/>
            </w:rPr>
            <w:instrText xml:space="preserve"> PAGE   \* MERGEFORMAT </w:instrText>
          </w:r>
          <w:r w:rsidRPr="00FE4AC3">
            <w:rPr>
              <w:b/>
              <w:i/>
              <w:color w:val="009900"/>
              <w:sz w:val="22"/>
              <w:szCs w:val="22"/>
              <w:lang w:val="ru-RU" w:eastAsia="ru-RU"/>
            </w:rPr>
            <w:fldChar w:fldCharType="separate"/>
          </w:r>
          <w:r w:rsidR="00182610">
            <w:rPr>
              <w:b/>
              <w:i/>
              <w:noProof/>
              <w:color w:val="009900"/>
              <w:sz w:val="22"/>
              <w:szCs w:val="22"/>
              <w:lang w:val="ru-RU" w:eastAsia="ru-RU"/>
            </w:rPr>
            <w:t>3</w:t>
          </w:r>
          <w:r w:rsidRPr="00FE4AC3">
            <w:rPr>
              <w:b/>
              <w:i/>
              <w:color w:val="009900"/>
              <w:sz w:val="22"/>
              <w:szCs w:val="22"/>
              <w:lang w:val="ru-RU" w:eastAsia="ru-RU"/>
            </w:rPr>
            <w:fldChar w:fldCharType="end"/>
          </w:r>
          <w:r w:rsidRPr="00FE4AC3">
            <w:rPr>
              <w:i/>
              <w:color w:val="009900"/>
              <w:sz w:val="22"/>
              <w:szCs w:val="22"/>
              <w:lang w:val="ru-RU" w:eastAsia="ru-RU"/>
            </w:rPr>
            <w:t xml:space="preserve"> </w:t>
          </w:r>
        </w:p>
      </w:tc>
    </w:tr>
  </w:tbl>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B57E" w14:textId="77777777" w:rsidR="00CB5E3A" w:rsidRDefault="00CB5E3A" w:rsidP="003E0ED2">
      <w:r>
        <w:separator/>
      </w:r>
    </w:p>
  </w:footnote>
  <w:footnote w:type="continuationSeparator" w:id="0">
    <w:p w14:paraId="66B6EB51" w14:textId="77777777" w:rsidR="00CB5E3A" w:rsidRDefault="00CB5E3A"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480D" w14:textId="77777777" w:rsidR="00DA0DDA" w:rsidRPr="0040761A" w:rsidRDefault="000557FF" w:rsidP="00782CD9">
    <w:pPr>
      <w:pStyle w:val="a5"/>
      <w:pBdr>
        <w:top w:val="single" w:sz="8" w:space="1" w:color="009900"/>
        <w:bottom w:val="single" w:sz="8" w:space="1" w:color="009900"/>
      </w:pBdr>
      <w:jc w:val="left"/>
      <w:rPr>
        <w:b/>
        <w:i/>
        <w:color w:val="009900"/>
        <w:sz w:val="22"/>
        <w:szCs w:val="22"/>
      </w:rPr>
    </w:pPr>
    <w:r w:rsidRPr="000557FF">
      <w:rPr>
        <w:b/>
        <w:i/>
        <w:color w:val="009900"/>
        <w:sz w:val="22"/>
        <w:szCs w:val="22"/>
        <w:lang w:eastAsia="ru-RU"/>
      </w:rPr>
      <w:t>International Conference on Industrial Engineering. 2015</w:t>
    </w:r>
  </w:p>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0"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1"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901213139">
    <w:abstractNumId w:val="2"/>
  </w:num>
  <w:num w:numId="2" w16cid:durableId="1686009064">
    <w:abstractNumId w:val="8"/>
  </w:num>
  <w:num w:numId="3" w16cid:durableId="322205417">
    <w:abstractNumId w:val="1"/>
  </w:num>
  <w:num w:numId="4" w16cid:durableId="1739941014">
    <w:abstractNumId w:val="4"/>
  </w:num>
  <w:num w:numId="5" w16cid:durableId="511527207">
    <w:abstractNumId w:val="4"/>
  </w:num>
  <w:num w:numId="6" w16cid:durableId="1304429976">
    <w:abstractNumId w:val="4"/>
  </w:num>
  <w:num w:numId="7" w16cid:durableId="449279136">
    <w:abstractNumId w:val="4"/>
  </w:num>
  <w:num w:numId="8" w16cid:durableId="1772241249">
    <w:abstractNumId w:val="6"/>
  </w:num>
  <w:num w:numId="9" w16cid:durableId="1397165514">
    <w:abstractNumId w:val="9"/>
  </w:num>
  <w:num w:numId="10" w16cid:durableId="1241984585">
    <w:abstractNumId w:val="3"/>
  </w:num>
  <w:num w:numId="11" w16cid:durableId="1033309182">
    <w:abstractNumId w:val="0"/>
  </w:num>
  <w:num w:numId="12" w16cid:durableId="1957055058">
    <w:abstractNumId w:val="12"/>
  </w:num>
  <w:num w:numId="13" w16cid:durableId="2005934170">
    <w:abstractNumId w:val="10"/>
  </w:num>
  <w:num w:numId="14" w16cid:durableId="1861818099">
    <w:abstractNumId w:val="11"/>
  </w:num>
  <w:num w:numId="15" w16cid:durableId="2005232369">
    <w:abstractNumId w:val="5"/>
  </w:num>
  <w:num w:numId="16" w16cid:durableId="542786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3FE1"/>
    <w:rsid w:val="00021449"/>
    <w:rsid w:val="0004390D"/>
    <w:rsid w:val="000554DF"/>
    <w:rsid w:val="000557FF"/>
    <w:rsid w:val="00064AFF"/>
    <w:rsid w:val="00064F77"/>
    <w:rsid w:val="00086E66"/>
    <w:rsid w:val="0009688D"/>
    <w:rsid w:val="000B4641"/>
    <w:rsid w:val="000B4FBF"/>
    <w:rsid w:val="000C32CD"/>
    <w:rsid w:val="000D0C9E"/>
    <w:rsid w:val="000E4BA3"/>
    <w:rsid w:val="000E4F8A"/>
    <w:rsid w:val="000E7038"/>
    <w:rsid w:val="000F34DC"/>
    <w:rsid w:val="0010711E"/>
    <w:rsid w:val="001151FC"/>
    <w:rsid w:val="00117CD0"/>
    <w:rsid w:val="00121F6A"/>
    <w:rsid w:val="00123D6D"/>
    <w:rsid w:val="00127EDD"/>
    <w:rsid w:val="00147F44"/>
    <w:rsid w:val="0015467F"/>
    <w:rsid w:val="00166906"/>
    <w:rsid w:val="00177D19"/>
    <w:rsid w:val="00182610"/>
    <w:rsid w:val="00184851"/>
    <w:rsid w:val="001924F4"/>
    <w:rsid w:val="001B64F0"/>
    <w:rsid w:val="001F4AA3"/>
    <w:rsid w:val="001F4C5E"/>
    <w:rsid w:val="00211EE1"/>
    <w:rsid w:val="00220BDB"/>
    <w:rsid w:val="002304E3"/>
    <w:rsid w:val="00261570"/>
    <w:rsid w:val="002709C8"/>
    <w:rsid w:val="00270A39"/>
    <w:rsid w:val="00276735"/>
    <w:rsid w:val="00283773"/>
    <w:rsid w:val="002864A3"/>
    <w:rsid w:val="002B3B81"/>
    <w:rsid w:val="002B4267"/>
    <w:rsid w:val="002E7582"/>
    <w:rsid w:val="002E7BED"/>
    <w:rsid w:val="00304154"/>
    <w:rsid w:val="00304704"/>
    <w:rsid w:val="0031782B"/>
    <w:rsid w:val="00323A43"/>
    <w:rsid w:val="00330FF9"/>
    <w:rsid w:val="003522F6"/>
    <w:rsid w:val="003677FC"/>
    <w:rsid w:val="00384B96"/>
    <w:rsid w:val="003A47B5"/>
    <w:rsid w:val="003A59A6"/>
    <w:rsid w:val="003E0ED2"/>
    <w:rsid w:val="003E1EF8"/>
    <w:rsid w:val="003E27A3"/>
    <w:rsid w:val="003E2AB4"/>
    <w:rsid w:val="003F2DB0"/>
    <w:rsid w:val="004019FC"/>
    <w:rsid w:val="00404100"/>
    <w:rsid w:val="004059FE"/>
    <w:rsid w:val="00411F98"/>
    <w:rsid w:val="00422966"/>
    <w:rsid w:val="0043125D"/>
    <w:rsid w:val="004342FD"/>
    <w:rsid w:val="004371F2"/>
    <w:rsid w:val="004414A1"/>
    <w:rsid w:val="00441A8B"/>
    <w:rsid w:val="004445B3"/>
    <w:rsid w:val="00454801"/>
    <w:rsid w:val="004563FC"/>
    <w:rsid w:val="004708E4"/>
    <w:rsid w:val="00470CD6"/>
    <w:rsid w:val="0047724B"/>
    <w:rsid w:val="004776E5"/>
    <w:rsid w:val="00484D9F"/>
    <w:rsid w:val="004A0152"/>
    <w:rsid w:val="004A3C8E"/>
    <w:rsid w:val="004B3902"/>
    <w:rsid w:val="004B7D8F"/>
    <w:rsid w:val="004C27C0"/>
    <w:rsid w:val="004C2825"/>
    <w:rsid w:val="004C7600"/>
    <w:rsid w:val="004D480B"/>
    <w:rsid w:val="004D711D"/>
    <w:rsid w:val="004E205E"/>
    <w:rsid w:val="004F576C"/>
    <w:rsid w:val="004F5D0B"/>
    <w:rsid w:val="004F71BF"/>
    <w:rsid w:val="004F7F57"/>
    <w:rsid w:val="005105B8"/>
    <w:rsid w:val="0051311C"/>
    <w:rsid w:val="00517603"/>
    <w:rsid w:val="00531C4A"/>
    <w:rsid w:val="00533742"/>
    <w:rsid w:val="0054191B"/>
    <w:rsid w:val="00541F36"/>
    <w:rsid w:val="00542599"/>
    <w:rsid w:val="00553607"/>
    <w:rsid w:val="005561D6"/>
    <w:rsid w:val="00562D24"/>
    <w:rsid w:val="0056310A"/>
    <w:rsid w:val="0057548A"/>
    <w:rsid w:val="00575FFB"/>
    <w:rsid w:val="005828F1"/>
    <w:rsid w:val="0059117E"/>
    <w:rsid w:val="005A5E4F"/>
    <w:rsid w:val="005B520E"/>
    <w:rsid w:val="005B535B"/>
    <w:rsid w:val="005C2C68"/>
    <w:rsid w:val="005C6304"/>
    <w:rsid w:val="005C6A71"/>
    <w:rsid w:val="005E70BD"/>
    <w:rsid w:val="005F04AE"/>
    <w:rsid w:val="005F7345"/>
    <w:rsid w:val="006108A4"/>
    <w:rsid w:val="00617BB1"/>
    <w:rsid w:val="00621611"/>
    <w:rsid w:val="006558D0"/>
    <w:rsid w:val="006564EB"/>
    <w:rsid w:val="0066497E"/>
    <w:rsid w:val="006863B8"/>
    <w:rsid w:val="006A7E1C"/>
    <w:rsid w:val="006C4648"/>
    <w:rsid w:val="006D1ABB"/>
    <w:rsid w:val="006F3401"/>
    <w:rsid w:val="0072064C"/>
    <w:rsid w:val="007358F7"/>
    <w:rsid w:val="00737BBF"/>
    <w:rsid w:val="007442B3"/>
    <w:rsid w:val="00745335"/>
    <w:rsid w:val="00753F7B"/>
    <w:rsid w:val="0078277C"/>
    <w:rsid w:val="00782CD9"/>
    <w:rsid w:val="00787C5A"/>
    <w:rsid w:val="007919DE"/>
    <w:rsid w:val="007933EF"/>
    <w:rsid w:val="00797211"/>
    <w:rsid w:val="007A10E9"/>
    <w:rsid w:val="007B349C"/>
    <w:rsid w:val="007B66D0"/>
    <w:rsid w:val="007C0308"/>
    <w:rsid w:val="007C633F"/>
    <w:rsid w:val="00800501"/>
    <w:rsid w:val="008014D2"/>
    <w:rsid w:val="008054BC"/>
    <w:rsid w:val="00816EC3"/>
    <w:rsid w:val="008309A5"/>
    <w:rsid w:val="008774BF"/>
    <w:rsid w:val="00881EB8"/>
    <w:rsid w:val="008869BF"/>
    <w:rsid w:val="008927A8"/>
    <w:rsid w:val="008A55B5"/>
    <w:rsid w:val="008A75C8"/>
    <w:rsid w:val="008C18F0"/>
    <w:rsid w:val="008E5FA2"/>
    <w:rsid w:val="008F1820"/>
    <w:rsid w:val="008F1B99"/>
    <w:rsid w:val="008F3E09"/>
    <w:rsid w:val="00916FE4"/>
    <w:rsid w:val="00920BB5"/>
    <w:rsid w:val="009355FD"/>
    <w:rsid w:val="0093729A"/>
    <w:rsid w:val="00946ADE"/>
    <w:rsid w:val="00972C1E"/>
    <w:rsid w:val="0097508D"/>
    <w:rsid w:val="00982796"/>
    <w:rsid w:val="00994E81"/>
    <w:rsid w:val="00995EFB"/>
    <w:rsid w:val="009B1242"/>
    <w:rsid w:val="009E68F5"/>
    <w:rsid w:val="009F3EAE"/>
    <w:rsid w:val="009F74B0"/>
    <w:rsid w:val="00A042A4"/>
    <w:rsid w:val="00A3180F"/>
    <w:rsid w:val="00A45533"/>
    <w:rsid w:val="00A47B74"/>
    <w:rsid w:val="00A510F7"/>
    <w:rsid w:val="00A5657C"/>
    <w:rsid w:val="00A56CB1"/>
    <w:rsid w:val="00A61407"/>
    <w:rsid w:val="00A62D06"/>
    <w:rsid w:val="00A6752B"/>
    <w:rsid w:val="00A7523A"/>
    <w:rsid w:val="00A853B9"/>
    <w:rsid w:val="00A872B0"/>
    <w:rsid w:val="00A872E2"/>
    <w:rsid w:val="00A92072"/>
    <w:rsid w:val="00AB1335"/>
    <w:rsid w:val="00AB3B97"/>
    <w:rsid w:val="00AC301A"/>
    <w:rsid w:val="00AC6519"/>
    <w:rsid w:val="00AD3CF1"/>
    <w:rsid w:val="00AD4971"/>
    <w:rsid w:val="00AF68F9"/>
    <w:rsid w:val="00B312BE"/>
    <w:rsid w:val="00B330BC"/>
    <w:rsid w:val="00B37ADB"/>
    <w:rsid w:val="00B43D72"/>
    <w:rsid w:val="00B46D07"/>
    <w:rsid w:val="00B51331"/>
    <w:rsid w:val="00B61C17"/>
    <w:rsid w:val="00B66CD4"/>
    <w:rsid w:val="00B70A8E"/>
    <w:rsid w:val="00B71125"/>
    <w:rsid w:val="00B92311"/>
    <w:rsid w:val="00BA643E"/>
    <w:rsid w:val="00BC214F"/>
    <w:rsid w:val="00BC4BCB"/>
    <w:rsid w:val="00BC79F9"/>
    <w:rsid w:val="00BD7FDF"/>
    <w:rsid w:val="00BE7D28"/>
    <w:rsid w:val="00BF2002"/>
    <w:rsid w:val="00BF3541"/>
    <w:rsid w:val="00C14C45"/>
    <w:rsid w:val="00C21B78"/>
    <w:rsid w:val="00C32992"/>
    <w:rsid w:val="00C55575"/>
    <w:rsid w:val="00C602B4"/>
    <w:rsid w:val="00C60A9C"/>
    <w:rsid w:val="00C62F96"/>
    <w:rsid w:val="00CB3B86"/>
    <w:rsid w:val="00CB5E3A"/>
    <w:rsid w:val="00CB66E6"/>
    <w:rsid w:val="00CC7EF2"/>
    <w:rsid w:val="00CD219E"/>
    <w:rsid w:val="00CE309F"/>
    <w:rsid w:val="00D2794E"/>
    <w:rsid w:val="00D339A0"/>
    <w:rsid w:val="00D4338C"/>
    <w:rsid w:val="00D4450B"/>
    <w:rsid w:val="00D47836"/>
    <w:rsid w:val="00D52BE9"/>
    <w:rsid w:val="00D57A86"/>
    <w:rsid w:val="00D84672"/>
    <w:rsid w:val="00D9156D"/>
    <w:rsid w:val="00D91DBE"/>
    <w:rsid w:val="00D93FD2"/>
    <w:rsid w:val="00DA0DDA"/>
    <w:rsid w:val="00DC320B"/>
    <w:rsid w:val="00DC6BFC"/>
    <w:rsid w:val="00DE0414"/>
    <w:rsid w:val="00DE2A1F"/>
    <w:rsid w:val="00DF3EC2"/>
    <w:rsid w:val="00DF4379"/>
    <w:rsid w:val="00DF7764"/>
    <w:rsid w:val="00E12401"/>
    <w:rsid w:val="00E14B5D"/>
    <w:rsid w:val="00E248CC"/>
    <w:rsid w:val="00E251DB"/>
    <w:rsid w:val="00E2616B"/>
    <w:rsid w:val="00E60054"/>
    <w:rsid w:val="00E635B4"/>
    <w:rsid w:val="00E65250"/>
    <w:rsid w:val="00E91219"/>
    <w:rsid w:val="00E9155B"/>
    <w:rsid w:val="00E96E4D"/>
    <w:rsid w:val="00EA506F"/>
    <w:rsid w:val="00EA63DE"/>
    <w:rsid w:val="00EB43E4"/>
    <w:rsid w:val="00EB76E5"/>
    <w:rsid w:val="00EE4362"/>
    <w:rsid w:val="00EF18D7"/>
    <w:rsid w:val="00EF1E8A"/>
    <w:rsid w:val="00EF3A1A"/>
    <w:rsid w:val="00EF6E65"/>
    <w:rsid w:val="00F12417"/>
    <w:rsid w:val="00F1527C"/>
    <w:rsid w:val="00F26247"/>
    <w:rsid w:val="00F32562"/>
    <w:rsid w:val="00F3757F"/>
    <w:rsid w:val="00F53D3C"/>
    <w:rsid w:val="00F63424"/>
    <w:rsid w:val="00F7599C"/>
    <w:rsid w:val="00F77C61"/>
    <w:rsid w:val="00F87AD7"/>
    <w:rsid w:val="00FC5BE3"/>
    <w:rsid w:val="00FE037D"/>
    <w:rsid w:val="00FE219D"/>
    <w:rsid w:val="00FE4AC3"/>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242"/>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styleId="ae">
    <w:name w:val="Unresolved Mention"/>
    <w:basedOn w:val="a0"/>
    <w:uiPriority w:val="99"/>
    <w:semiHidden/>
    <w:unhideWhenUsed/>
    <w:rsid w:val="00147F44"/>
    <w:rPr>
      <w:color w:val="605E5C"/>
      <w:shd w:val="clear" w:color="auto" w:fill="E1DFDD"/>
    </w:rPr>
  </w:style>
  <w:style w:type="paragraph" w:styleId="af">
    <w:name w:val="Normal (Web)"/>
    <w:basedOn w:val="a"/>
    <w:uiPriority w:val="99"/>
    <w:semiHidden/>
    <w:unhideWhenUsed/>
    <w:rsid w:val="009B12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67256">
      <w:bodyDiv w:val="1"/>
      <w:marLeft w:val="0"/>
      <w:marRight w:val="0"/>
      <w:marTop w:val="0"/>
      <w:marBottom w:val="0"/>
      <w:divBdr>
        <w:top w:val="none" w:sz="0" w:space="0" w:color="auto"/>
        <w:left w:val="none" w:sz="0" w:space="0" w:color="auto"/>
        <w:bottom w:val="none" w:sz="0" w:space="0" w:color="auto"/>
        <w:right w:val="none" w:sz="0" w:space="0" w:color="auto"/>
      </w:divBdr>
    </w:div>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1578204817">
      <w:bodyDiv w:val="1"/>
      <w:marLeft w:val="0"/>
      <w:marRight w:val="0"/>
      <w:marTop w:val="0"/>
      <w:marBottom w:val="0"/>
      <w:divBdr>
        <w:top w:val="none" w:sz="0" w:space="0" w:color="auto"/>
        <w:left w:val="none" w:sz="0" w:space="0" w:color="auto"/>
        <w:bottom w:val="none" w:sz="0" w:space="0" w:color="auto"/>
        <w:right w:val="none" w:sz="0" w:space="0" w:color="auto"/>
      </w:divBdr>
    </w:div>
    <w:div w:id="1820268847">
      <w:bodyDiv w:val="1"/>
      <w:marLeft w:val="0"/>
      <w:marRight w:val="0"/>
      <w:marTop w:val="0"/>
      <w:marBottom w:val="0"/>
      <w:divBdr>
        <w:top w:val="none" w:sz="0" w:space="0" w:color="auto"/>
        <w:left w:val="none" w:sz="0" w:space="0" w:color="auto"/>
        <w:bottom w:val="none" w:sz="0" w:space="0" w:color="auto"/>
        <w:right w:val="none" w:sz="0" w:space="0" w:color="auto"/>
      </w:divBdr>
    </w:div>
    <w:div w:id="1827671375">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header" Target="header1.xml"/><Relationship Id="rId20" Type="http://schemas.openxmlformats.org/officeDocument/2006/relationships/hyperlink" Target="https://www.researchgate.net/publication/377391729_Software_Quality_Measurement_for_Functional_Suitability_Performance_Efficiency_and_Reliability_Characteristics_Using_Analytical_Hierarchy_Process" TargetMode="External"/><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5751</Words>
  <Characters>3279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Dmytro Halushko</cp:lastModifiedBy>
  <cp:revision>2</cp:revision>
  <cp:lastPrinted>2013-06-05T12:22:00Z</cp:lastPrinted>
  <dcterms:created xsi:type="dcterms:W3CDTF">2025-05-10T20:58:00Z</dcterms:created>
  <dcterms:modified xsi:type="dcterms:W3CDTF">2025-05-10T20:58:00Z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