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8605" w14:textId="77777777" w:rsidR="00542429" w:rsidRPr="00955AD0" w:rsidRDefault="00542429" w:rsidP="00542429">
      <w:pPr>
        <w:spacing w:before="360" w:after="40" w:line="240" w:lineRule="auto"/>
        <w:jc w:val="center"/>
        <w:rPr>
          <w:b/>
          <w:bCs/>
          <w:i/>
          <w:iCs/>
          <w:sz w:val="48"/>
          <w:szCs w:val="48"/>
          <w:lang w:val="en-US"/>
        </w:rPr>
      </w:pPr>
      <w:r w:rsidRPr="00955AD0">
        <w:rPr>
          <w:b/>
          <w:bCs/>
          <w:i/>
          <w:iCs/>
          <w:sz w:val="48"/>
          <w:szCs w:val="48"/>
        </w:rPr>
        <w:t>IMPROVEMENT OF PEARSON CORRELATION TO OVERCOME THE MATRIX SPARSITY PROBLEM IN RECOMMENDER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44D97" w:rsidRPr="00944D97" w14:paraId="71FCD9DC" w14:textId="77777777" w:rsidTr="00B72505">
        <w:tc>
          <w:tcPr>
            <w:tcW w:w="10447" w:type="dxa"/>
            <w:tcBorders>
              <w:top w:val="nil"/>
              <w:left w:val="nil"/>
              <w:bottom w:val="nil"/>
              <w:right w:val="nil"/>
            </w:tcBorders>
            <w:shd w:val="clear" w:color="auto" w:fill="auto"/>
          </w:tcPr>
          <w:p w14:paraId="01172E65" w14:textId="4E962F93" w:rsidR="00944D97" w:rsidRPr="00944D97" w:rsidRDefault="00944D97" w:rsidP="00944D97">
            <w:pPr>
              <w:spacing w:before="360" w:after="40" w:line="240" w:lineRule="auto"/>
              <w:jc w:val="center"/>
              <w:rPr>
                <w:rFonts w:eastAsia="MS Mincho"/>
                <w:noProof/>
                <w:sz w:val="22"/>
                <w:szCs w:val="22"/>
              </w:rPr>
            </w:pPr>
            <w:r w:rsidRPr="00944D97">
              <w:rPr>
                <w:rFonts w:eastAsia="MS Mincho"/>
                <w:noProof/>
                <w:sz w:val="22"/>
                <w:szCs w:val="22"/>
                <w:lang w:val="en-US"/>
              </w:rPr>
              <w:t>Sherstuik Ihor</w:t>
            </w:r>
            <w:r w:rsidRPr="00944D97">
              <w:rPr>
                <w:rFonts w:eastAsia="MS Mincho"/>
                <w:noProof/>
                <w:sz w:val="22"/>
                <w:szCs w:val="22"/>
              </w:rPr>
              <w:t>, Holubiev Leontii</w:t>
            </w:r>
          </w:p>
          <w:p w14:paraId="3742DD43" w14:textId="77777777" w:rsidR="00944D97" w:rsidRPr="00944D97" w:rsidRDefault="00944D97" w:rsidP="00944D97">
            <w:pPr>
              <w:pBdr>
                <w:top w:val="nil"/>
                <w:left w:val="nil"/>
                <w:bottom w:val="nil"/>
                <w:right w:val="nil"/>
                <w:between w:val="nil"/>
              </w:pBdr>
              <w:spacing w:line="240" w:lineRule="auto"/>
              <w:jc w:val="center"/>
              <w:rPr>
                <w:rFonts w:eastAsia="Times New Roman"/>
                <w:sz w:val="20"/>
                <w:szCs w:val="20"/>
                <w:lang w:val="en-US" w:eastAsia="uk-UA"/>
              </w:rPr>
            </w:pPr>
            <w:r w:rsidRPr="00944D97">
              <w:rPr>
                <w:rFonts w:eastAsia="Times New Roman"/>
                <w:sz w:val="20"/>
                <w:szCs w:val="20"/>
                <w:lang w:eastAsia="uk-UA"/>
              </w:rPr>
              <w:t>Igor Sikorsky Kyiv Polytechnic Institute</w:t>
            </w:r>
          </w:p>
          <w:p w14:paraId="1B2F2D55" w14:textId="77777777" w:rsidR="00944D97" w:rsidRPr="00944D97" w:rsidRDefault="00944D97" w:rsidP="00944D97">
            <w:pPr>
              <w:pBdr>
                <w:top w:val="nil"/>
                <w:left w:val="nil"/>
                <w:bottom w:val="nil"/>
                <w:right w:val="nil"/>
                <w:between w:val="nil"/>
              </w:pBdr>
              <w:spacing w:line="240" w:lineRule="auto"/>
              <w:jc w:val="center"/>
              <w:rPr>
                <w:rFonts w:eastAsia="Times New Roman"/>
                <w:sz w:val="20"/>
                <w:szCs w:val="20"/>
                <w:lang w:val="en-US" w:eastAsia="uk-UA"/>
              </w:rPr>
            </w:pPr>
            <w:r w:rsidRPr="00944D97">
              <w:rPr>
                <w:rFonts w:eastAsia="Times New Roman"/>
                <w:sz w:val="20"/>
                <w:szCs w:val="20"/>
                <w:lang w:val="en-US" w:eastAsia="uk-UA"/>
              </w:rPr>
              <w:t>Kiev</w:t>
            </w:r>
            <w:r w:rsidRPr="00944D97">
              <w:rPr>
                <w:rFonts w:eastAsia="Times New Roman"/>
                <w:sz w:val="20"/>
                <w:szCs w:val="20"/>
                <w:lang w:eastAsia="uk-UA"/>
              </w:rPr>
              <w:t xml:space="preserve">, </w:t>
            </w:r>
            <w:r w:rsidRPr="00944D97">
              <w:rPr>
                <w:rFonts w:eastAsia="Times New Roman"/>
                <w:sz w:val="20"/>
                <w:szCs w:val="20"/>
                <w:lang w:val="en-US" w:eastAsia="uk-UA"/>
              </w:rPr>
              <w:t>Ukraine</w:t>
            </w:r>
          </w:p>
          <w:p w14:paraId="7BEACF1F" w14:textId="1EEC11B3" w:rsidR="00944D97" w:rsidRPr="00944D97" w:rsidRDefault="00944D97" w:rsidP="00944D97">
            <w:pPr>
              <w:pBdr>
                <w:top w:val="nil"/>
                <w:left w:val="nil"/>
                <w:bottom w:val="nil"/>
                <w:right w:val="nil"/>
                <w:between w:val="nil"/>
              </w:pBdr>
              <w:spacing w:line="240" w:lineRule="auto"/>
              <w:jc w:val="center"/>
              <w:rPr>
                <w:rFonts w:eastAsia="Times New Roman"/>
                <w:sz w:val="20"/>
                <w:szCs w:val="20"/>
                <w:lang w:val="en-US" w:eastAsia="uk-UA"/>
              </w:rPr>
            </w:pPr>
            <w:r w:rsidRPr="00944D97">
              <w:rPr>
                <w:rFonts w:eastAsia="Times New Roman"/>
                <w:sz w:val="20"/>
                <w:szCs w:val="20"/>
                <w:lang w:val="en-US" w:eastAsia="uk-UA"/>
              </w:rPr>
              <w:t>igor</w:t>
            </w:r>
            <w:r w:rsidRPr="00944D97">
              <w:rPr>
                <w:rFonts w:eastAsia="Times New Roman"/>
                <w:sz w:val="20"/>
                <w:szCs w:val="20"/>
                <w:lang w:eastAsia="uk-UA"/>
              </w:rPr>
              <w:t>.</w:t>
            </w:r>
            <w:r w:rsidRPr="00944D97">
              <w:rPr>
                <w:rFonts w:eastAsia="Times New Roman"/>
                <w:sz w:val="20"/>
                <w:szCs w:val="20"/>
                <w:lang w:val="en-US" w:eastAsia="uk-UA"/>
              </w:rPr>
              <w:t>sherstuk</w:t>
            </w:r>
            <w:r w:rsidRPr="00944D97">
              <w:rPr>
                <w:rFonts w:eastAsia="Times New Roman"/>
                <w:sz w:val="20"/>
                <w:szCs w:val="20"/>
                <w:lang w:eastAsia="uk-UA"/>
              </w:rPr>
              <w:t>8229@</w:t>
            </w:r>
            <w:r w:rsidRPr="00944D97">
              <w:rPr>
                <w:rFonts w:eastAsia="Times New Roman"/>
                <w:sz w:val="20"/>
                <w:szCs w:val="20"/>
                <w:lang w:val="en-US" w:eastAsia="uk-UA"/>
              </w:rPr>
              <w:t>gmail</w:t>
            </w:r>
            <w:r w:rsidRPr="00944D97">
              <w:rPr>
                <w:rFonts w:eastAsia="Times New Roman"/>
                <w:sz w:val="20"/>
                <w:szCs w:val="20"/>
                <w:lang w:eastAsia="uk-UA"/>
              </w:rPr>
              <w:t>.</w:t>
            </w:r>
            <w:r w:rsidRPr="00944D97">
              <w:rPr>
                <w:rFonts w:eastAsia="Times New Roman"/>
                <w:sz w:val="20"/>
                <w:szCs w:val="20"/>
                <w:lang w:val="en-US" w:eastAsia="uk-UA"/>
              </w:rPr>
              <w:t>com</w:t>
            </w:r>
            <w:r w:rsidRPr="00944D97">
              <w:rPr>
                <w:rFonts w:eastAsia="Times New Roman"/>
                <w:sz w:val="20"/>
                <w:szCs w:val="20"/>
                <w:lang w:eastAsia="uk-UA"/>
              </w:rPr>
              <w:t>, golubev.leontiy@lll.kpi.ua</w:t>
            </w:r>
          </w:p>
          <w:p w14:paraId="41F1BD6D" w14:textId="77777777" w:rsidR="00944D97" w:rsidRPr="00944D97" w:rsidRDefault="00944D97" w:rsidP="00944D97">
            <w:pPr>
              <w:spacing w:line="240" w:lineRule="auto"/>
              <w:jc w:val="center"/>
              <w:rPr>
                <w:rFonts w:eastAsia="MS Mincho"/>
                <w:b/>
                <w:sz w:val="48"/>
                <w:szCs w:val="48"/>
                <w:lang w:val="en-US"/>
              </w:rPr>
            </w:pPr>
          </w:p>
        </w:tc>
      </w:tr>
      <w:tr w:rsidR="00944D97" w:rsidRPr="00944D97" w14:paraId="7C31C982" w14:textId="77777777" w:rsidTr="00B72505">
        <w:tc>
          <w:tcPr>
            <w:tcW w:w="10447" w:type="dxa"/>
            <w:tcBorders>
              <w:top w:val="nil"/>
              <w:left w:val="nil"/>
              <w:bottom w:val="nil"/>
              <w:right w:val="nil"/>
            </w:tcBorders>
            <w:shd w:val="clear" w:color="auto" w:fill="auto"/>
          </w:tcPr>
          <w:p w14:paraId="0C3EAFE8" w14:textId="6D8DD9C0" w:rsidR="00944D97" w:rsidRPr="00944D97" w:rsidRDefault="00944D97" w:rsidP="00944D97">
            <w:pPr>
              <w:spacing w:before="360" w:after="40" w:line="240" w:lineRule="auto"/>
              <w:rPr>
                <w:rFonts w:eastAsia="Times New Roman"/>
                <w:b/>
                <w:noProof/>
                <w:sz w:val="18"/>
                <w:szCs w:val="18"/>
              </w:rPr>
            </w:pPr>
            <w:r w:rsidRPr="00944D97">
              <w:rPr>
                <w:rFonts w:eastAsia="MS Mincho"/>
                <w:b/>
                <w:i/>
                <w:iCs/>
                <w:noProof/>
                <w:sz w:val="18"/>
                <w:szCs w:val="18"/>
                <w:lang w:val="en-US"/>
              </w:rPr>
              <w:t>Abstract</w:t>
            </w:r>
            <w:r w:rsidRPr="00944D97">
              <w:rPr>
                <w:rFonts w:eastAsia="MS Mincho"/>
                <w:b/>
                <w:i/>
                <w:iCs/>
                <w:noProof/>
                <w:sz w:val="18"/>
                <w:szCs w:val="18"/>
                <w:lang w:val="ru-RU"/>
              </w:rPr>
              <w:t xml:space="preserve">. </w:t>
            </w:r>
            <w:r w:rsidRPr="00944D97">
              <w:rPr>
                <w:rFonts w:eastAsia="Times New Roman"/>
                <w:b/>
                <w:noProof/>
                <w:sz w:val="18"/>
                <w:szCs w:val="18"/>
              </w:rPr>
              <w:t>The article examines the issue of reduced recommendation accuracy under conditions of rating matrix sparsity. An improved approach to Pearson correlation is proposed by introducing a regularization factor that accounts for the number of common ratings between users. Experimental results demonstrate the effectiveness of the method in cases with 30–55% missing values. The proposed solution leads to improved accuracy metrics and reduced prediction errors.</w:t>
            </w:r>
          </w:p>
          <w:p w14:paraId="5BEF08CF" w14:textId="24DBCE0D" w:rsidR="00944D97" w:rsidRPr="00944D97" w:rsidRDefault="00944D97" w:rsidP="00944D97">
            <w:pPr>
              <w:spacing w:before="360" w:after="40" w:line="240" w:lineRule="auto"/>
              <w:rPr>
                <w:rFonts w:eastAsia="MS Mincho"/>
                <w:b/>
                <w:noProof/>
                <w:sz w:val="18"/>
                <w:szCs w:val="18"/>
                <w:lang w:val="ru-RU"/>
              </w:rPr>
            </w:pPr>
            <w:r w:rsidRPr="00944D97">
              <w:rPr>
                <w:rFonts w:eastAsia="MS Mincho"/>
                <w:b/>
                <w:i/>
                <w:noProof/>
                <w:sz w:val="18"/>
                <w:szCs w:val="18"/>
                <w:lang w:val="en-US"/>
              </w:rPr>
              <w:t>Keywords</w:t>
            </w:r>
            <w:r w:rsidRPr="00944D97">
              <w:rPr>
                <w:rFonts w:eastAsia="MS Mincho"/>
                <w:b/>
                <w:noProof/>
                <w:sz w:val="18"/>
                <w:szCs w:val="18"/>
                <w:lang w:val="ru-RU"/>
              </w:rPr>
              <w:t xml:space="preserve">: </w:t>
            </w:r>
            <w:r w:rsidRPr="00944D97">
              <w:rPr>
                <w:rFonts w:eastAsia="MS Mincho"/>
                <w:b/>
                <w:i/>
                <w:noProof/>
                <w:sz w:val="18"/>
                <w:szCs w:val="18"/>
              </w:rPr>
              <w:t>ecommender system, Pearson correlation, regularization, matrix sparsity, prediction accuracy.</w:t>
            </w:r>
          </w:p>
        </w:tc>
      </w:tr>
    </w:tbl>
    <w:p w14:paraId="61F5F8AF" w14:textId="1FA15512" w:rsidR="0053086C" w:rsidRPr="00542429" w:rsidRDefault="0053086C" w:rsidP="00944D97">
      <w:pPr>
        <w:spacing w:before="360"/>
        <w:jc w:val="center"/>
        <w:rPr>
          <w:b/>
          <w:bCs/>
          <w:i/>
          <w:iCs/>
          <w:sz w:val="46"/>
          <w:szCs w:val="46"/>
          <w:lang w:val="ru-RU"/>
        </w:rPr>
      </w:pPr>
      <w:r w:rsidRPr="00542429">
        <w:rPr>
          <w:b/>
          <w:bCs/>
          <w:i/>
          <w:iCs/>
          <w:sz w:val="46"/>
          <w:szCs w:val="46"/>
        </w:rPr>
        <w:t>УДОСКОНАЛЕННЯ</w:t>
      </w:r>
      <w:r w:rsidR="00721875" w:rsidRPr="00542429">
        <w:rPr>
          <w:b/>
          <w:bCs/>
          <w:i/>
          <w:iCs/>
          <w:sz w:val="46"/>
          <w:szCs w:val="46"/>
          <w:lang w:val="ru-RU"/>
        </w:rPr>
        <w:t xml:space="preserve"> </w:t>
      </w:r>
      <w:r w:rsidRPr="00542429">
        <w:rPr>
          <w:b/>
          <w:bCs/>
          <w:i/>
          <w:iCs/>
          <w:sz w:val="46"/>
          <w:szCs w:val="46"/>
        </w:rPr>
        <w:t>КОРЕЛЯЦІЇ ПІРСОНА ДЛЯ ПОДОЛАННЯ ПРОБЛЕМИ РОЗРІДЖЕННОСТІ МАТРИЦІ</w:t>
      </w:r>
      <w:r w:rsidR="00A171D0" w:rsidRPr="00542429">
        <w:rPr>
          <w:b/>
          <w:bCs/>
          <w:i/>
          <w:iCs/>
          <w:sz w:val="46"/>
          <w:szCs w:val="46"/>
        </w:rPr>
        <w:t xml:space="preserve"> В РЕКОМЕНДАЦІЙНИХ СИСТЕМАХ</w:t>
      </w:r>
    </w:p>
    <w:p w14:paraId="682F6A15" w14:textId="77777777" w:rsidR="00E068ED" w:rsidRDefault="00E068ED" w:rsidP="00E068ED">
      <w:pPr>
        <w:spacing w:before="360" w:after="40" w:line="240" w:lineRule="auto"/>
        <w:jc w:val="center"/>
        <w:rPr>
          <w:rFonts w:eastAsia="MS Mincho"/>
          <w:noProof/>
          <w:sz w:val="22"/>
          <w:szCs w:val="22"/>
        </w:rPr>
        <w:sectPr w:rsidR="00E068ED" w:rsidSect="00BF1BE9">
          <w:pgSz w:w="11906" w:h="16838"/>
          <w:pgMar w:top="1440" w:right="1440" w:bottom="1440" w:left="1440" w:header="708" w:footer="708" w:gutter="0"/>
          <w:cols w:space="708"/>
          <w:docGrid w:linePitch="360"/>
        </w:sectPr>
      </w:pPr>
    </w:p>
    <w:p w14:paraId="318F2C34" w14:textId="77777777" w:rsidR="00542429" w:rsidRPr="00E068ED" w:rsidRDefault="00542429" w:rsidP="00542429">
      <w:pPr>
        <w:spacing w:before="360" w:after="40" w:line="240" w:lineRule="auto"/>
        <w:jc w:val="center"/>
        <w:rPr>
          <w:rFonts w:eastAsia="MS Mincho"/>
          <w:noProof/>
          <w:sz w:val="22"/>
          <w:szCs w:val="22"/>
        </w:rPr>
      </w:pPr>
      <w:r>
        <w:rPr>
          <w:rFonts w:eastAsia="MS Mincho"/>
          <w:noProof/>
          <w:sz w:val="22"/>
          <w:szCs w:val="22"/>
        </w:rPr>
        <w:t>Шерстюк Ігор,</w:t>
      </w:r>
      <w:r w:rsidRPr="00B825BF">
        <w:rPr>
          <w:rFonts w:eastAsia="MS Mincho"/>
          <w:noProof/>
          <w:sz w:val="22"/>
          <w:szCs w:val="22"/>
        </w:rPr>
        <w:t xml:space="preserve"> </w:t>
      </w:r>
      <w:r>
        <w:rPr>
          <w:rFonts w:eastAsia="MS Mincho"/>
          <w:noProof/>
          <w:sz w:val="22"/>
          <w:szCs w:val="22"/>
        </w:rPr>
        <w:t>Голубєв Леонтій</w:t>
      </w:r>
    </w:p>
    <w:p w14:paraId="5C9FA406" w14:textId="77777777" w:rsidR="00542429" w:rsidRPr="00E068ED" w:rsidRDefault="00542429" w:rsidP="00542429">
      <w:pPr>
        <w:spacing w:line="240" w:lineRule="auto"/>
        <w:jc w:val="center"/>
        <w:rPr>
          <w:rFonts w:eastAsia="MS Mincho"/>
          <w:sz w:val="20"/>
          <w:szCs w:val="20"/>
        </w:rPr>
      </w:pPr>
      <w:r>
        <w:rPr>
          <w:rFonts w:eastAsia="MS Mincho"/>
          <w:sz w:val="20"/>
          <w:szCs w:val="20"/>
        </w:rPr>
        <w:t>КПІ імені Ігоря Сікорського</w:t>
      </w:r>
    </w:p>
    <w:p w14:paraId="736471EA" w14:textId="77777777" w:rsidR="00542429" w:rsidRPr="00E068ED" w:rsidRDefault="00542429" w:rsidP="00542429">
      <w:pPr>
        <w:spacing w:line="240" w:lineRule="auto"/>
        <w:jc w:val="center"/>
        <w:rPr>
          <w:rFonts w:eastAsia="MS Mincho"/>
          <w:sz w:val="20"/>
          <w:szCs w:val="20"/>
        </w:rPr>
      </w:pPr>
      <w:r>
        <w:rPr>
          <w:rFonts w:eastAsia="MS Mincho"/>
          <w:sz w:val="20"/>
          <w:szCs w:val="20"/>
        </w:rPr>
        <w:t>Київ</w:t>
      </w:r>
      <w:r w:rsidRPr="00E068ED">
        <w:rPr>
          <w:rFonts w:eastAsia="MS Mincho"/>
          <w:sz w:val="20"/>
          <w:szCs w:val="20"/>
        </w:rPr>
        <w:t xml:space="preserve">, </w:t>
      </w:r>
      <w:r>
        <w:rPr>
          <w:rFonts w:eastAsia="MS Mincho"/>
          <w:sz w:val="20"/>
          <w:szCs w:val="20"/>
        </w:rPr>
        <w:t>Україна</w:t>
      </w:r>
    </w:p>
    <w:p w14:paraId="6F7301E2" w14:textId="77777777" w:rsidR="00542429" w:rsidRDefault="00542429" w:rsidP="00542429">
      <w:pPr>
        <w:jc w:val="center"/>
        <w:rPr>
          <w:sz w:val="48"/>
          <w:szCs w:val="48"/>
        </w:rPr>
        <w:sectPr w:rsidR="00542429" w:rsidSect="00542429">
          <w:type w:val="continuous"/>
          <w:pgSz w:w="11906" w:h="16838"/>
          <w:pgMar w:top="1440" w:right="1440" w:bottom="1440" w:left="1440" w:header="708" w:footer="708" w:gutter="0"/>
          <w:cols w:space="708"/>
          <w:docGrid w:linePitch="360"/>
        </w:sectPr>
      </w:pPr>
      <w:r w:rsidRPr="00B825BF">
        <w:rPr>
          <w:rFonts w:eastAsia="MS Mincho"/>
          <w:sz w:val="20"/>
          <w:szCs w:val="20"/>
          <w:lang w:val="en-US"/>
        </w:rPr>
        <w:t>igor</w:t>
      </w:r>
      <w:r w:rsidRPr="00B825BF">
        <w:rPr>
          <w:rFonts w:eastAsia="MS Mincho"/>
          <w:sz w:val="20"/>
          <w:szCs w:val="20"/>
        </w:rPr>
        <w:t>.</w:t>
      </w:r>
      <w:r w:rsidRPr="00B825BF">
        <w:rPr>
          <w:rFonts w:eastAsia="MS Mincho"/>
          <w:sz w:val="20"/>
          <w:szCs w:val="20"/>
          <w:lang w:val="en-US"/>
        </w:rPr>
        <w:t>sherstuk</w:t>
      </w:r>
      <w:r w:rsidRPr="00B825BF">
        <w:rPr>
          <w:rFonts w:eastAsia="MS Mincho"/>
          <w:sz w:val="20"/>
          <w:szCs w:val="20"/>
          <w:lang w:val="ru-RU"/>
        </w:rPr>
        <w:t>8229@</w:t>
      </w:r>
      <w:r w:rsidRPr="00B825BF">
        <w:rPr>
          <w:rFonts w:eastAsia="MS Mincho"/>
          <w:sz w:val="20"/>
          <w:szCs w:val="20"/>
          <w:lang w:val="en-US"/>
        </w:rPr>
        <w:t>gmail</w:t>
      </w:r>
      <w:r w:rsidRPr="00B825BF">
        <w:rPr>
          <w:rFonts w:eastAsia="MS Mincho"/>
          <w:sz w:val="20"/>
          <w:szCs w:val="20"/>
          <w:lang w:val="ru-RU"/>
        </w:rPr>
        <w:t>.</w:t>
      </w:r>
      <w:r w:rsidRPr="00B825BF">
        <w:rPr>
          <w:rFonts w:eastAsia="MS Mincho"/>
          <w:sz w:val="20"/>
          <w:szCs w:val="20"/>
          <w:lang w:val="en-US"/>
        </w:rPr>
        <w:t>com</w:t>
      </w:r>
      <w:r>
        <w:rPr>
          <w:rFonts w:eastAsia="MS Mincho"/>
          <w:sz w:val="20"/>
          <w:szCs w:val="20"/>
        </w:rPr>
        <w:t xml:space="preserve">, </w:t>
      </w:r>
      <w:r w:rsidRPr="00B825BF">
        <w:rPr>
          <w:rFonts w:eastAsia="MS Mincho"/>
          <w:sz w:val="20"/>
          <w:szCs w:val="20"/>
        </w:rPr>
        <w:t>golubev.leontiy@lll.kpi.ua</w:t>
      </w:r>
    </w:p>
    <w:p w14:paraId="66AE94CA" w14:textId="77777777" w:rsidR="00905C3D" w:rsidRPr="00560286" w:rsidRDefault="00905C3D" w:rsidP="00905C3D">
      <w:pPr>
        <w:keepNext/>
        <w:widowControl w:val="0"/>
        <w:ind w:right="-323"/>
        <w:rPr>
          <w:rFonts w:eastAsia="Times New Roman"/>
          <w:b/>
          <w:bCs/>
          <w:color w:val="000000"/>
          <w:sz w:val="20"/>
          <w:szCs w:val="20"/>
          <w:lang w:val="ru-RU" w:eastAsia="ru-RU"/>
        </w:rPr>
        <w:sectPr w:rsidR="00905C3D" w:rsidRPr="00560286" w:rsidSect="00905C3D">
          <w:type w:val="continuous"/>
          <w:pgSz w:w="11906" w:h="16838"/>
          <w:pgMar w:top="1440" w:right="1440" w:bottom="1440" w:left="1440" w:header="708" w:footer="708" w:gutter="0"/>
          <w:cols w:space="709"/>
          <w:docGrid w:linePitch="360"/>
        </w:sectPr>
      </w:pPr>
    </w:p>
    <w:p w14:paraId="7697D142" w14:textId="75ADF76A" w:rsidR="00AA2FE5" w:rsidRPr="00144209" w:rsidRDefault="00AA2FE5" w:rsidP="00905C3D">
      <w:pPr>
        <w:keepNext/>
        <w:widowControl w:val="0"/>
        <w:ind w:right="-324"/>
        <w:rPr>
          <w:rFonts w:eastAsia="Times New Roman"/>
          <w:b/>
          <w:bCs/>
          <w:color w:val="000000"/>
          <w:sz w:val="18"/>
          <w:szCs w:val="18"/>
          <w:lang w:eastAsia="ru-RU"/>
        </w:rPr>
      </w:pPr>
      <w:r w:rsidRPr="00843A73">
        <w:rPr>
          <w:rFonts w:eastAsia="Times New Roman"/>
          <w:b/>
          <w:bCs/>
          <w:i/>
          <w:iCs/>
          <w:color w:val="000000"/>
          <w:sz w:val="18"/>
          <w:szCs w:val="18"/>
          <w:lang w:eastAsia="ru-RU"/>
        </w:rPr>
        <w:t>Анотацiя</w:t>
      </w:r>
      <w:r w:rsidR="00843A73" w:rsidRPr="00843A73">
        <w:rPr>
          <w:rFonts w:eastAsia="Times New Roman"/>
          <w:b/>
          <w:bCs/>
          <w:color w:val="000000"/>
          <w:sz w:val="18"/>
          <w:szCs w:val="18"/>
          <w:lang w:val="ru-RU" w:eastAsia="ru-RU"/>
        </w:rPr>
        <w:t xml:space="preserve">. </w:t>
      </w:r>
      <w:r w:rsidRPr="00144209">
        <w:rPr>
          <w:rFonts w:eastAsia="Times New Roman"/>
          <w:b/>
          <w:bCs/>
          <w:color w:val="000000"/>
          <w:sz w:val="18"/>
          <w:szCs w:val="18"/>
          <w:lang w:eastAsia="ru-RU"/>
        </w:rPr>
        <w:t>У статтi розглянуто проблему зниження точностi рекомендацiй в умовах розрiдженостi матрицi. Запропоновано вдосконалення методу кореляцiї Пірсона шляхом введення регуляризацiйного множника, що враховує кiлькiсть спiльних оцiнок. Експериментально доведено ефективнiсть пiдходу при 30–55% вiдсутнiх значень. Метод забезпечує покращення метрик точностi та зменшення похибок.</w:t>
      </w:r>
    </w:p>
    <w:p w14:paraId="75B18369" w14:textId="77777777" w:rsidR="00FA3D73" w:rsidRPr="00955AD0" w:rsidRDefault="00FA3D73" w:rsidP="00FA3D73">
      <w:pPr>
        <w:keepNext/>
        <w:widowControl w:val="0"/>
        <w:ind w:right="-324"/>
        <w:rPr>
          <w:rFonts w:eastAsia="Times New Roman"/>
          <w:b/>
          <w:bCs/>
          <w:i/>
          <w:iCs/>
          <w:sz w:val="18"/>
          <w:szCs w:val="18"/>
          <w:lang w:eastAsia="ru-RU"/>
        </w:rPr>
      </w:pPr>
      <w:r w:rsidRPr="00955AD0">
        <w:rPr>
          <w:rFonts w:eastAsia="Times New Roman"/>
          <w:b/>
          <w:bCs/>
          <w:i/>
          <w:iCs/>
          <w:color w:val="000000"/>
          <w:sz w:val="18"/>
          <w:szCs w:val="18"/>
          <w:lang w:eastAsia="ru-RU"/>
        </w:rPr>
        <w:t xml:space="preserve">Ключові слова: рекомендацiйна система, кореляцiя Пірсона, регуляризацiя, розрiдженiсть матрицi, </w:t>
      </w:r>
      <w:r w:rsidRPr="00955AD0">
        <w:rPr>
          <w:rFonts w:eastAsia="Times New Roman"/>
          <w:b/>
          <w:bCs/>
          <w:i/>
          <w:iCs/>
          <w:color w:val="000000"/>
          <w:sz w:val="18"/>
          <w:szCs w:val="18"/>
          <w:lang w:eastAsia="ru-RU"/>
        </w:rPr>
        <w:t>точнiсть рекомендацiй.</w:t>
      </w:r>
    </w:p>
    <w:p w14:paraId="1B63E2C4" w14:textId="17F9E303" w:rsidR="00EE514A" w:rsidRPr="00944D97" w:rsidRDefault="001B7D8E" w:rsidP="00944D97">
      <w:pPr>
        <w:keepNext/>
        <w:keepLines/>
        <w:tabs>
          <w:tab w:val="left" w:pos="216"/>
        </w:tabs>
        <w:spacing w:before="120" w:line="240" w:lineRule="auto"/>
        <w:jc w:val="center"/>
        <w:outlineLvl w:val="0"/>
        <w:rPr>
          <w:rFonts w:eastAsia="MS Mincho"/>
          <w:bCs/>
          <w:smallCaps/>
          <w:kern w:val="32"/>
          <w:sz w:val="20"/>
          <w:szCs w:val="20"/>
          <w:lang w:eastAsia="x-none"/>
        </w:rPr>
      </w:pPr>
      <w:r w:rsidRPr="00944D97">
        <w:rPr>
          <w:rFonts w:eastAsia="MS Mincho"/>
          <w:bCs/>
          <w:smallCaps/>
          <w:kern w:val="32"/>
          <w:sz w:val="20"/>
          <w:szCs w:val="20"/>
          <w:lang w:eastAsia="x-none"/>
        </w:rPr>
        <w:t>Вступ</w:t>
      </w:r>
    </w:p>
    <w:p w14:paraId="12067140" w14:textId="2DA6F5DD" w:rsidR="001B7D8E" w:rsidRPr="00E068ED" w:rsidRDefault="00E71AB7" w:rsidP="0093123F">
      <w:pPr>
        <w:keepNext/>
        <w:widowControl w:val="0"/>
        <w:ind w:right="-324" w:firstLine="142"/>
        <w:rPr>
          <w:sz w:val="20"/>
          <w:szCs w:val="20"/>
          <w:lang w:val="ru-RU"/>
        </w:rPr>
      </w:pPr>
      <w:r w:rsidRPr="00E71AB7">
        <w:rPr>
          <w:sz w:val="20"/>
          <w:szCs w:val="20"/>
        </w:rPr>
        <w:t xml:space="preserve">У сучасних рекомендаційних системах колаборативна фільтрація є одним з найефективніших і найпоширеніших методів персоналізації. Проте однією з її основних проблем залишається </w:t>
      </w:r>
      <w:r w:rsidRPr="00515CD9">
        <w:rPr>
          <w:sz w:val="20"/>
          <w:szCs w:val="20"/>
        </w:rPr>
        <w:t>розрідженість матриці оцінок</w:t>
      </w:r>
      <w:r w:rsidRPr="00E71AB7">
        <w:rPr>
          <w:sz w:val="20"/>
          <w:szCs w:val="20"/>
        </w:rPr>
        <w:t>, яка призводить до погіршення якості рекомендацій</w:t>
      </w:r>
      <w:r w:rsidR="0030484F" w:rsidRPr="0030484F">
        <w:rPr>
          <w:sz w:val="20"/>
          <w:szCs w:val="20"/>
          <w:lang w:val="ru-RU"/>
        </w:rPr>
        <w:t xml:space="preserve"> </w:t>
      </w:r>
      <w:r w:rsidR="00866DB8" w:rsidRPr="00866DB8">
        <w:rPr>
          <w:sz w:val="20"/>
          <w:szCs w:val="20"/>
          <w:lang w:val="ru-RU"/>
        </w:rPr>
        <w:t>[</w:t>
      </w:r>
      <w:r w:rsidR="00866DB8" w:rsidRPr="0030484F">
        <w:rPr>
          <w:sz w:val="20"/>
          <w:szCs w:val="20"/>
          <w:lang w:val="ru-RU"/>
        </w:rPr>
        <w:t>1</w:t>
      </w:r>
      <w:r w:rsidR="00866DB8" w:rsidRPr="00866DB8">
        <w:rPr>
          <w:sz w:val="20"/>
          <w:szCs w:val="20"/>
          <w:lang w:val="ru-RU"/>
        </w:rPr>
        <w:t>]</w:t>
      </w:r>
      <w:r w:rsidRPr="00E71AB7">
        <w:rPr>
          <w:sz w:val="20"/>
          <w:szCs w:val="20"/>
        </w:rPr>
        <w:t>. Зокрема, класичний підхід на основі кореляції Пірсона дає нестабільні або хибні результати при недостатній кількості спільно оцінених об'єктів</w:t>
      </w:r>
      <w:r w:rsidR="0030484F" w:rsidRPr="0030484F">
        <w:rPr>
          <w:sz w:val="20"/>
          <w:szCs w:val="20"/>
        </w:rPr>
        <w:t xml:space="preserve"> </w:t>
      </w:r>
      <w:r w:rsidR="00866DB8" w:rsidRPr="00866DB8">
        <w:rPr>
          <w:sz w:val="20"/>
          <w:szCs w:val="20"/>
        </w:rPr>
        <w:t>[2]</w:t>
      </w:r>
      <w:r w:rsidRPr="00E71AB7">
        <w:rPr>
          <w:sz w:val="20"/>
          <w:szCs w:val="20"/>
        </w:rPr>
        <w:t xml:space="preserve">. Це створює потребу в удосконаленні </w:t>
      </w:r>
      <w:r w:rsidRPr="00E71AB7">
        <w:rPr>
          <w:sz w:val="20"/>
          <w:szCs w:val="20"/>
        </w:rPr>
        <w:lastRenderedPageBreak/>
        <w:t>методу з урахуванням обмеженості даних.</w:t>
      </w:r>
      <w:r w:rsidR="001B7D8E" w:rsidRPr="00E068ED">
        <w:rPr>
          <w:sz w:val="20"/>
          <w:szCs w:val="20"/>
        </w:rPr>
        <w:t>Пірсона.</w:t>
      </w:r>
    </w:p>
    <w:p w14:paraId="27E68494" w14:textId="77777777" w:rsidR="003123E9" w:rsidRPr="00944D97" w:rsidRDefault="003123E9" w:rsidP="00944D97">
      <w:pPr>
        <w:keepNext/>
        <w:keepLines/>
        <w:tabs>
          <w:tab w:val="left" w:pos="216"/>
        </w:tabs>
        <w:spacing w:before="120" w:line="240" w:lineRule="auto"/>
        <w:jc w:val="center"/>
        <w:outlineLvl w:val="0"/>
        <w:rPr>
          <w:rFonts w:eastAsia="MS Mincho"/>
          <w:bCs/>
          <w:smallCaps/>
          <w:kern w:val="32"/>
          <w:sz w:val="20"/>
          <w:szCs w:val="20"/>
          <w:lang w:eastAsia="x-none"/>
        </w:rPr>
      </w:pPr>
      <w:r w:rsidRPr="00944D97">
        <w:rPr>
          <w:rFonts w:eastAsia="MS Mincho"/>
          <w:bCs/>
          <w:smallCaps/>
          <w:kern w:val="32"/>
          <w:sz w:val="20"/>
          <w:szCs w:val="20"/>
          <w:lang w:eastAsia="x-none"/>
        </w:rPr>
        <w:t>Математичні моделі</w:t>
      </w:r>
    </w:p>
    <w:p w14:paraId="5178F037" w14:textId="3108FFC0" w:rsidR="003123E9" w:rsidRPr="003123E9" w:rsidRDefault="003123E9" w:rsidP="0093123F">
      <w:pPr>
        <w:ind w:firstLine="142"/>
        <w:rPr>
          <w:sz w:val="20"/>
          <w:szCs w:val="20"/>
        </w:rPr>
      </w:pPr>
      <w:r w:rsidRPr="003123E9">
        <w:rPr>
          <w:sz w:val="20"/>
          <w:szCs w:val="20"/>
        </w:rPr>
        <w:t xml:space="preserve">У колаборативній фільтрації персоналізовані рекомендації формуються на основі схожості між користувачами. Одним з базових підходів є використання </w:t>
      </w:r>
      <w:r w:rsidRPr="00515CD9">
        <w:rPr>
          <w:sz w:val="20"/>
          <w:szCs w:val="20"/>
        </w:rPr>
        <w:t>коефіцієнта кореляції Пірсона,</w:t>
      </w:r>
      <w:r w:rsidRPr="003123E9">
        <w:rPr>
          <w:sz w:val="20"/>
          <w:szCs w:val="20"/>
        </w:rPr>
        <w:t xml:space="preserve"> який оцінює ступінь подібності між користувачами на основі спільно оцінених об’єктів</w:t>
      </w:r>
      <w:r w:rsidR="0030484F" w:rsidRPr="0030484F">
        <w:rPr>
          <w:sz w:val="20"/>
          <w:szCs w:val="20"/>
        </w:rPr>
        <w:t xml:space="preserve"> [1]</w:t>
      </w:r>
      <w:r w:rsidRPr="003123E9">
        <w:rPr>
          <w:sz w:val="20"/>
          <w:szCs w:val="20"/>
        </w:rPr>
        <w:t>.</w:t>
      </w:r>
    </w:p>
    <w:p w14:paraId="27A44EA4" w14:textId="77777777" w:rsidR="003123E9" w:rsidRDefault="003123E9" w:rsidP="003123E9">
      <w:pPr>
        <w:rPr>
          <w:sz w:val="20"/>
          <w:szCs w:val="20"/>
        </w:rPr>
      </w:pPr>
      <w:r w:rsidRPr="003123E9">
        <w:rPr>
          <w:sz w:val="20"/>
          <w:szCs w:val="20"/>
        </w:rPr>
        <w:t>Класична формула має вигляд:</w:t>
      </w:r>
    </w:p>
    <w:p w14:paraId="062657A3" w14:textId="2B3D5A9A" w:rsidR="003123E9" w:rsidRDefault="00560286" w:rsidP="00573B9A">
      <w:pPr>
        <w:jc w:val="center"/>
        <w:rPr>
          <w:sz w:val="20"/>
          <w:szCs w:val="20"/>
          <w:lang w:val="en-US"/>
        </w:rPr>
      </w:pPr>
      <w:r w:rsidRPr="00545C08">
        <w:rPr>
          <w:position w:val="-56"/>
          <w:sz w:val="20"/>
          <w:szCs w:val="20"/>
          <w:lang w:val="en-US"/>
        </w:rPr>
        <w:object w:dxaOrig="4099" w:dyaOrig="1180" w14:anchorId="73298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05pt;height:54.55pt" o:ole="">
            <v:imagedata r:id="rId6" o:title=""/>
          </v:shape>
          <o:OLEObject Type="Embed" ProgID="Equation.DSMT4" ShapeID="_x0000_i1025" DrawAspect="Content" ObjectID="_1808734875" r:id="rId7"/>
        </w:object>
      </w:r>
      <w:r>
        <w:rPr>
          <w:sz w:val="20"/>
          <w:szCs w:val="20"/>
          <w:lang w:val="en-US"/>
        </w:rPr>
        <w:t>(1)</w:t>
      </w:r>
    </w:p>
    <w:p w14:paraId="7FD8C846" w14:textId="69920FE8" w:rsidR="006D6A00" w:rsidRPr="00144209" w:rsidRDefault="009D178C" w:rsidP="003123E9">
      <w:pPr>
        <w:rPr>
          <w:sz w:val="20"/>
          <w:szCs w:val="20"/>
          <w:lang w:val="ru-RU"/>
        </w:rPr>
      </w:pPr>
      <w:r>
        <w:rPr>
          <w:sz w:val="20"/>
          <w:szCs w:val="20"/>
        </w:rPr>
        <w:t>д</w:t>
      </w:r>
      <w:r w:rsidRPr="009D178C">
        <w:rPr>
          <w:sz w:val="20"/>
          <w:szCs w:val="20"/>
        </w:rPr>
        <w:t>е</w:t>
      </w:r>
      <w:r>
        <w:rPr>
          <w:sz w:val="20"/>
          <w:szCs w:val="20"/>
        </w:rPr>
        <w:t xml:space="preserve"> </w:t>
      </w:r>
      <w:r w:rsidR="00221D0E" w:rsidRPr="00221D0E">
        <w:rPr>
          <w:position w:val="-14"/>
          <w:sz w:val="20"/>
          <w:szCs w:val="20"/>
          <w:lang w:val="en-US"/>
        </w:rPr>
        <w:object w:dxaOrig="360" w:dyaOrig="380" w14:anchorId="78E7A337">
          <v:shape id="_x0000_i1026" type="#_x0000_t75" style="width:18pt;height:19.2pt" o:ole="">
            <v:imagedata r:id="rId8" o:title=""/>
          </v:shape>
          <o:OLEObject Type="Embed" ProgID="Equation.DSMT4" ShapeID="_x0000_i1026" DrawAspect="Content" ObjectID="_1808734876" r:id="rId9"/>
        </w:object>
      </w:r>
      <w:r w:rsidR="008E3975" w:rsidRPr="008E3975">
        <w:rPr>
          <w:sz w:val="20"/>
          <w:szCs w:val="20"/>
        </w:rPr>
        <w:t>–</w:t>
      </w:r>
      <w:r w:rsidR="00DD035A" w:rsidRPr="00DD035A">
        <w:t xml:space="preserve"> </w:t>
      </w:r>
      <w:r w:rsidR="00DD035A" w:rsidRPr="00DD035A">
        <w:rPr>
          <w:sz w:val="20"/>
          <w:szCs w:val="20"/>
        </w:rPr>
        <w:t>оцінка користувача</w:t>
      </w:r>
      <w:r w:rsidR="00DD035A" w:rsidRPr="00DD035A">
        <w:rPr>
          <w:sz w:val="20"/>
          <w:szCs w:val="20"/>
          <w:lang w:val="ru-RU"/>
        </w:rPr>
        <w:t xml:space="preserve"> </w:t>
      </w:r>
      <w:r w:rsidR="009677A0" w:rsidRPr="009677A0">
        <w:rPr>
          <w:position w:val="-6"/>
          <w:sz w:val="20"/>
          <w:szCs w:val="20"/>
          <w:lang w:val="en-US"/>
        </w:rPr>
        <w:object w:dxaOrig="200" w:dyaOrig="220" w14:anchorId="1AD09347">
          <v:shape id="_x0000_i1027" type="#_x0000_t75" style="width:10.2pt;height:10.8pt" o:ole="">
            <v:imagedata r:id="rId10" o:title=""/>
          </v:shape>
          <o:OLEObject Type="Embed" ProgID="Equation.DSMT4" ShapeID="_x0000_i1027" DrawAspect="Content" ObjectID="_1808734877" r:id="rId11"/>
        </w:object>
      </w:r>
      <w:r w:rsidR="00DD035A" w:rsidRPr="00DD035A">
        <w:rPr>
          <w:sz w:val="20"/>
          <w:szCs w:val="20"/>
          <w:lang w:val="ru-RU"/>
        </w:rPr>
        <w:t xml:space="preserve"> </w:t>
      </w:r>
      <w:r w:rsidR="00DD035A" w:rsidRPr="00DD035A">
        <w:rPr>
          <w:sz w:val="20"/>
          <w:szCs w:val="20"/>
        </w:rPr>
        <w:t>для об’єкта</w:t>
      </w:r>
      <w:r w:rsidR="00DD035A" w:rsidRPr="00221D0E">
        <w:rPr>
          <w:sz w:val="20"/>
          <w:szCs w:val="20"/>
          <w:lang w:val="ru-RU"/>
        </w:rPr>
        <w:t xml:space="preserve"> </w:t>
      </w:r>
      <w:r w:rsidR="009677A0" w:rsidRPr="009677A0">
        <w:rPr>
          <w:position w:val="-6"/>
          <w:sz w:val="20"/>
          <w:szCs w:val="20"/>
          <w:lang w:val="ru-RU"/>
        </w:rPr>
        <w:object w:dxaOrig="139" w:dyaOrig="260" w14:anchorId="31BB8910">
          <v:shape id="_x0000_i1028" type="#_x0000_t75" style="width:7.2pt;height:13.2pt" o:ole="">
            <v:imagedata r:id="rId12" o:title=""/>
          </v:shape>
          <o:OLEObject Type="Embed" ProgID="Equation.DSMT4" ShapeID="_x0000_i1028" DrawAspect="Content" ObjectID="_1808734878" r:id="rId13"/>
        </w:object>
      </w:r>
      <w:r w:rsidR="00144209" w:rsidRPr="00144209">
        <w:rPr>
          <w:sz w:val="20"/>
          <w:szCs w:val="20"/>
          <w:lang w:val="ru-RU"/>
        </w:rPr>
        <w:t>;</w:t>
      </w:r>
    </w:p>
    <w:p w14:paraId="4E3B4E82" w14:textId="0EB1E93D" w:rsidR="002A26CC" w:rsidRPr="008E3975" w:rsidRDefault="00221D0E">
      <w:pPr>
        <w:rPr>
          <w:sz w:val="20"/>
          <w:szCs w:val="20"/>
          <w:lang w:val="ru-RU"/>
        </w:rPr>
      </w:pPr>
      <w:r w:rsidRPr="00221D0E">
        <w:rPr>
          <w:position w:val="-4"/>
          <w:sz w:val="20"/>
          <w:szCs w:val="20"/>
          <w:lang w:val="en-US"/>
        </w:rPr>
        <w:object w:dxaOrig="180" w:dyaOrig="279" w14:anchorId="611227DC">
          <v:shape id="_x0000_i1029" type="#_x0000_t75" style="width:9pt;height:13.8pt" o:ole="">
            <v:imagedata r:id="rId14" o:title=""/>
          </v:shape>
          <o:OLEObject Type="Embed" ProgID="Equation.DSMT4" ShapeID="_x0000_i1029" DrawAspect="Content" ObjectID="_1808734879" r:id="rId15"/>
        </w:object>
      </w:r>
      <w:r w:rsidRPr="00221D0E">
        <w:t xml:space="preserve"> </w:t>
      </w:r>
      <w:r w:rsidRPr="00221D0E">
        <w:rPr>
          <w:position w:val="-12"/>
          <w:sz w:val="20"/>
          <w:szCs w:val="20"/>
        </w:rPr>
        <w:object w:dxaOrig="240" w:dyaOrig="400" w14:anchorId="5951BD9B">
          <v:shape id="_x0000_i1030" type="#_x0000_t75" style="width:12pt;height:19.8pt" o:ole="">
            <v:imagedata r:id="rId16" o:title=""/>
          </v:shape>
          <o:OLEObject Type="Embed" ProgID="Equation.DSMT4" ShapeID="_x0000_i1030" DrawAspect="Content" ObjectID="_1808734880" r:id="rId17"/>
        </w:object>
      </w:r>
      <w:r w:rsidRPr="00221D0E">
        <w:rPr>
          <w:sz w:val="20"/>
          <w:szCs w:val="20"/>
          <w:lang w:val="ru-RU"/>
        </w:rPr>
        <w:t xml:space="preserve"> </w:t>
      </w:r>
      <w:r w:rsidR="008E3975" w:rsidRPr="008E3975">
        <w:rPr>
          <w:sz w:val="20"/>
          <w:szCs w:val="20"/>
        </w:rPr>
        <w:t>–</w:t>
      </w:r>
      <w:r w:rsidRPr="00221D0E">
        <w:t xml:space="preserve"> </w:t>
      </w:r>
      <w:r w:rsidRPr="00221D0E">
        <w:rPr>
          <w:sz w:val="20"/>
          <w:szCs w:val="20"/>
        </w:rPr>
        <w:t>середнє значення оцінок користувача</w:t>
      </w:r>
      <w:r w:rsidRPr="00221D0E">
        <w:rPr>
          <w:sz w:val="20"/>
          <w:szCs w:val="20"/>
          <w:lang w:val="ru-RU"/>
        </w:rPr>
        <w:t xml:space="preserve"> </w:t>
      </w:r>
      <w:r w:rsidR="009677A0" w:rsidRPr="00227FBE">
        <w:rPr>
          <w:i/>
          <w:iCs/>
          <w:sz w:val="20"/>
          <w:szCs w:val="20"/>
          <w:lang w:val="en-US"/>
        </w:rPr>
        <w:t>u</w:t>
      </w:r>
      <w:r w:rsidR="00144209" w:rsidRPr="00144209">
        <w:rPr>
          <w:sz w:val="20"/>
          <w:szCs w:val="20"/>
          <w:lang w:val="ru-RU"/>
        </w:rPr>
        <w:t>;</w:t>
      </w:r>
    </w:p>
    <w:p w14:paraId="2F90AA7C" w14:textId="753785D4" w:rsidR="00CD7281" w:rsidRPr="005E7E71" w:rsidRDefault="00CD7281">
      <w:pPr>
        <w:rPr>
          <w:sz w:val="20"/>
          <w:szCs w:val="20"/>
          <w:lang w:val="ru-RU"/>
        </w:rPr>
      </w:pPr>
      <w:r w:rsidRPr="00221D0E">
        <w:rPr>
          <w:position w:val="-4"/>
          <w:sz w:val="20"/>
          <w:szCs w:val="20"/>
          <w:lang w:val="en-US"/>
        </w:rPr>
        <w:object w:dxaOrig="180" w:dyaOrig="279" w14:anchorId="5118FEAD">
          <v:shape id="_x0000_i1031" type="#_x0000_t75" style="width:9pt;height:13.8pt" o:ole="">
            <v:imagedata r:id="rId14" o:title=""/>
          </v:shape>
          <o:OLEObject Type="Embed" ProgID="Equation.DSMT4" ShapeID="_x0000_i1031" DrawAspect="Content" ObjectID="_1808734881" r:id="rId18"/>
        </w:object>
      </w:r>
      <w:r w:rsidRPr="00221D0E">
        <w:t xml:space="preserve"> </w:t>
      </w:r>
      <w:r w:rsidRPr="00CD7281">
        <w:rPr>
          <w:position w:val="-12"/>
          <w:sz w:val="20"/>
          <w:szCs w:val="20"/>
          <w:lang w:val="en-US"/>
        </w:rPr>
        <w:object w:dxaOrig="320" w:dyaOrig="360" w14:anchorId="4760F319">
          <v:shape id="_x0000_i1032" type="#_x0000_t75" style="width:16.2pt;height:18pt" o:ole="">
            <v:imagedata r:id="rId19" o:title=""/>
          </v:shape>
          <o:OLEObject Type="Embed" ProgID="Equation.DSMT4" ShapeID="_x0000_i1032" DrawAspect="Content" ObjectID="_1808734882" r:id="rId20"/>
        </w:object>
      </w:r>
      <w:r w:rsidRPr="008E3975">
        <w:rPr>
          <w:sz w:val="20"/>
          <w:szCs w:val="20"/>
          <w:lang w:val="ru-RU"/>
        </w:rPr>
        <w:t xml:space="preserve"> </w:t>
      </w:r>
      <w:r w:rsidR="008E3975" w:rsidRPr="008E3975">
        <w:rPr>
          <w:sz w:val="20"/>
          <w:szCs w:val="20"/>
        </w:rPr>
        <w:t>–</w:t>
      </w:r>
      <w:r w:rsidR="008E3975" w:rsidRPr="008E3975">
        <w:rPr>
          <w:sz w:val="20"/>
          <w:szCs w:val="20"/>
          <w:lang w:val="ru-RU"/>
        </w:rPr>
        <w:t xml:space="preserve"> </w:t>
      </w:r>
      <w:r w:rsidR="008E3975" w:rsidRPr="008E3975">
        <w:rPr>
          <w:sz w:val="20"/>
          <w:szCs w:val="20"/>
        </w:rPr>
        <w:t>множина об’єктів, оцінених обома користувачами</w:t>
      </w:r>
      <w:r w:rsidR="008E3975" w:rsidRPr="008E3975">
        <w:rPr>
          <w:sz w:val="20"/>
          <w:szCs w:val="20"/>
          <w:lang w:val="ru-RU"/>
        </w:rPr>
        <w:t xml:space="preserve"> </w:t>
      </w:r>
      <w:r w:rsidR="009677A0" w:rsidRPr="009677A0">
        <w:rPr>
          <w:position w:val="-6"/>
          <w:sz w:val="20"/>
          <w:szCs w:val="20"/>
          <w:lang w:val="en-US"/>
        </w:rPr>
        <w:object w:dxaOrig="200" w:dyaOrig="220" w14:anchorId="52D8B34A">
          <v:shape id="_x0000_i1033" type="#_x0000_t75" style="width:10.2pt;height:10.8pt" o:ole="">
            <v:imagedata r:id="rId21" o:title=""/>
          </v:shape>
          <o:OLEObject Type="Embed" ProgID="Equation.DSMT4" ShapeID="_x0000_i1033" DrawAspect="Content" ObjectID="_1808734883" r:id="rId22"/>
        </w:object>
      </w:r>
      <w:r w:rsidR="008E3975" w:rsidRPr="008E3975">
        <w:rPr>
          <w:sz w:val="20"/>
          <w:szCs w:val="20"/>
          <w:lang w:val="ru-RU"/>
        </w:rPr>
        <w:t xml:space="preserve"> </w:t>
      </w:r>
      <w:r w:rsidR="008E3975">
        <w:rPr>
          <w:sz w:val="20"/>
          <w:szCs w:val="20"/>
        </w:rPr>
        <w:t xml:space="preserve">та </w:t>
      </w:r>
      <w:r w:rsidR="009677A0" w:rsidRPr="009677A0">
        <w:rPr>
          <w:position w:val="-6"/>
          <w:sz w:val="20"/>
          <w:szCs w:val="20"/>
        </w:rPr>
        <w:object w:dxaOrig="180" w:dyaOrig="220" w14:anchorId="5DD57EDF">
          <v:shape id="_x0000_i1034" type="#_x0000_t75" style="width:9pt;height:10.8pt" o:ole="">
            <v:imagedata r:id="rId23" o:title=""/>
          </v:shape>
          <o:OLEObject Type="Embed" ProgID="Equation.DSMT4" ShapeID="_x0000_i1034" DrawAspect="Content" ObjectID="_1808734884" r:id="rId24"/>
        </w:object>
      </w:r>
      <w:r w:rsidR="005E7E71" w:rsidRPr="005E7E71">
        <w:rPr>
          <w:sz w:val="20"/>
          <w:szCs w:val="20"/>
          <w:lang w:val="ru-RU"/>
        </w:rPr>
        <w:t>.</w:t>
      </w:r>
    </w:p>
    <w:p w14:paraId="0FD13264" w14:textId="43DACCAE" w:rsidR="00912CA6" w:rsidRPr="00912CA6" w:rsidRDefault="00912CA6" w:rsidP="0093123F">
      <w:pPr>
        <w:ind w:firstLine="142"/>
        <w:rPr>
          <w:sz w:val="20"/>
          <w:szCs w:val="20"/>
        </w:rPr>
      </w:pPr>
      <w:r w:rsidRPr="00144209">
        <w:rPr>
          <w:sz w:val="20"/>
          <w:szCs w:val="20"/>
          <w:lang w:val="ru-RU"/>
        </w:rPr>
        <w:t xml:space="preserve"> </w:t>
      </w:r>
      <w:r w:rsidRPr="00912CA6">
        <w:rPr>
          <w:sz w:val="20"/>
          <w:szCs w:val="20"/>
        </w:rPr>
        <w:t>Цей метод працює добре, коли є достатньо даних, однак при високій розрідженості матриці оцінок виникає серйозна проблема: навіть незначна кількість спільних оцінок може призводити до високої, але хибної схожості</w:t>
      </w:r>
      <w:r w:rsidR="0030484F" w:rsidRPr="0030484F">
        <w:rPr>
          <w:sz w:val="20"/>
          <w:szCs w:val="20"/>
          <w:lang w:val="ru-RU"/>
        </w:rPr>
        <w:t xml:space="preserve"> [3]</w:t>
      </w:r>
      <w:r w:rsidRPr="00912CA6">
        <w:rPr>
          <w:sz w:val="20"/>
          <w:szCs w:val="20"/>
        </w:rPr>
        <w:t>. У таких умовах класична формула стає ненадійною.</w:t>
      </w:r>
    </w:p>
    <w:p w14:paraId="6786EE2F" w14:textId="3FEA0A54" w:rsidR="00912CA6" w:rsidRPr="0030484F" w:rsidRDefault="00912CA6" w:rsidP="0093123F">
      <w:pPr>
        <w:ind w:firstLine="142"/>
        <w:rPr>
          <w:sz w:val="20"/>
          <w:szCs w:val="20"/>
        </w:rPr>
      </w:pPr>
      <w:r w:rsidRPr="00912CA6">
        <w:rPr>
          <w:sz w:val="20"/>
          <w:szCs w:val="20"/>
        </w:rPr>
        <w:t xml:space="preserve">Щоб зменшити вплив подібних похибок, у роботі запропоновано вдосконалити цей підхід шляхом </w:t>
      </w:r>
      <w:r w:rsidRPr="00515CD9">
        <w:rPr>
          <w:sz w:val="20"/>
          <w:szCs w:val="20"/>
        </w:rPr>
        <w:t>введення регуляризації</w:t>
      </w:r>
      <w:r w:rsidRPr="00912CA6">
        <w:rPr>
          <w:sz w:val="20"/>
          <w:szCs w:val="20"/>
        </w:rPr>
        <w:t>, яка враховує кількість спільних оцінок при обчисленні схожості</w:t>
      </w:r>
      <w:r w:rsidR="0030484F" w:rsidRPr="0030484F">
        <w:rPr>
          <w:sz w:val="20"/>
          <w:szCs w:val="20"/>
        </w:rPr>
        <w:t xml:space="preserve"> [</w:t>
      </w:r>
      <w:r w:rsidR="0030484F" w:rsidRPr="00903FA4">
        <w:rPr>
          <w:sz w:val="20"/>
          <w:szCs w:val="20"/>
        </w:rPr>
        <w:t>4</w:t>
      </w:r>
      <w:r w:rsidR="0030484F" w:rsidRPr="0030484F">
        <w:rPr>
          <w:sz w:val="20"/>
          <w:szCs w:val="20"/>
        </w:rPr>
        <w:t>]</w:t>
      </w:r>
      <w:r w:rsidRPr="00912CA6">
        <w:rPr>
          <w:sz w:val="20"/>
          <w:szCs w:val="20"/>
        </w:rPr>
        <w:t>. Регуляризована формула виглядає так:</w:t>
      </w:r>
    </w:p>
    <w:p w14:paraId="201DE51B" w14:textId="02702232" w:rsidR="00A03B46" w:rsidRDefault="00A03B46" w:rsidP="00A03B46">
      <w:pPr>
        <w:jc w:val="center"/>
        <w:rPr>
          <w:sz w:val="20"/>
          <w:szCs w:val="20"/>
          <w:lang w:val="en-US"/>
        </w:rPr>
      </w:pPr>
      <w:r w:rsidRPr="00A03B46">
        <w:rPr>
          <w:position w:val="-24"/>
          <w:sz w:val="20"/>
          <w:szCs w:val="20"/>
          <w:lang w:val="en-US"/>
        </w:rPr>
        <w:object w:dxaOrig="2820" w:dyaOrig="620" w14:anchorId="252E49B8">
          <v:shape id="_x0000_i1035" type="#_x0000_t75" style="width:141pt;height:31.2pt" o:ole="">
            <v:imagedata r:id="rId25" o:title=""/>
          </v:shape>
          <o:OLEObject Type="Embed" ProgID="Equation.DSMT4" ShapeID="_x0000_i1035" DrawAspect="Content" ObjectID="_1808734885" r:id="rId26"/>
        </w:object>
      </w:r>
      <w:r w:rsidR="00560286">
        <w:rPr>
          <w:sz w:val="20"/>
          <w:szCs w:val="20"/>
          <w:lang w:val="en-US"/>
        </w:rPr>
        <w:tab/>
        <w:t>(2)</w:t>
      </w:r>
    </w:p>
    <w:p w14:paraId="4AD4BB2C" w14:textId="20B04DA4" w:rsidR="00A03B46" w:rsidRPr="00912CA6" w:rsidRDefault="00A03B46" w:rsidP="00A03B46">
      <w:pPr>
        <w:jc w:val="left"/>
        <w:rPr>
          <w:sz w:val="20"/>
          <w:szCs w:val="20"/>
          <w:lang w:val="ru-RU"/>
        </w:rPr>
      </w:pPr>
      <w:r w:rsidRPr="00A03B46">
        <w:rPr>
          <w:sz w:val="20"/>
          <w:szCs w:val="20"/>
        </w:rPr>
        <w:t>де:</w:t>
      </w:r>
      <w:r w:rsidRPr="00A03B46">
        <w:rPr>
          <w:sz w:val="20"/>
          <w:szCs w:val="20"/>
          <w:lang w:val="ru-RU"/>
        </w:rPr>
        <w:t xml:space="preserve"> </w:t>
      </w:r>
      <w:r w:rsidRPr="00A03B46">
        <w:rPr>
          <w:position w:val="-6"/>
          <w:sz w:val="20"/>
          <w:szCs w:val="20"/>
          <w:lang w:val="en-US"/>
        </w:rPr>
        <w:object w:dxaOrig="200" w:dyaOrig="220" w14:anchorId="4CE797D4">
          <v:shape id="_x0000_i1036" type="#_x0000_t75" style="width:10.2pt;height:10.8pt" o:ole="">
            <v:imagedata r:id="rId27" o:title=""/>
          </v:shape>
          <o:OLEObject Type="Embed" ProgID="Equation.DSMT4" ShapeID="_x0000_i1036" DrawAspect="Content" ObjectID="_1808734886" r:id="rId28"/>
        </w:object>
      </w:r>
      <w:r w:rsidRPr="008E3975">
        <w:rPr>
          <w:sz w:val="20"/>
          <w:szCs w:val="20"/>
        </w:rPr>
        <w:t>–</w:t>
      </w:r>
      <w:r w:rsidRPr="00A03B46">
        <w:rPr>
          <w:sz w:val="20"/>
          <w:szCs w:val="20"/>
          <w:lang w:val="ru-RU"/>
        </w:rPr>
        <w:t xml:space="preserve"> </w:t>
      </w:r>
      <w:r w:rsidRPr="00A03B46">
        <w:rPr>
          <w:sz w:val="20"/>
          <w:szCs w:val="20"/>
        </w:rPr>
        <w:t>кількість спільно оцінених об’єктів</w:t>
      </w:r>
      <w:r w:rsidR="00144209" w:rsidRPr="00144209">
        <w:rPr>
          <w:sz w:val="20"/>
          <w:szCs w:val="20"/>
          <w:lang w:val="ru-RU"/>
        </w:rPr>
        <w:t>;</w:t>
      </w:r>
    </w:p>
    <w:p w14:paraId="046C90B1" w14:textId="504B4038" w:rsidR="00912CA6" w:rsidRPr="009677A0" w:rsidRDefault="00144209" w:rsidP="00144209">
      <w:pPr>
        <w:rPr>
          <w:sz w:val="20"/>
          <w:szCs w:val="20"/>
          <w:lang w:val="ru-RU"/>
        </w:rPr>
      </w:pPr>
      <w:r w:rsidRPr="00221D0E">
        <w:rPr>
          <w:position w:val="-4"/>
          <w:sz w:val="20"/>
          <w:szCs w:val="20"/>
          <w:lang w:val="en-US"/>
        </w:rPr>
        <w:object w:dxaOrig="180" w:dyaOrig="279" w14:anchorId="449A13EF">
          <v:shape id="_x0000_i1037" type="#_x0000_t75" style="width:9pt;height:13.8pt" o:ole="">
            <v:imagedata r:id="rId14" o:title=""/>
          </v:shape>
          <o:OLEObject Type="Embed" ProgID="Equation.DSMT4" ShapeID="_x0000_i1037" DrawAspect="Content" ObjectID="_1808734887" r:id="rId29"/>
        </w:object>
      </w:r>
      <w:r w:rsidRPr="00221D0E">
        <w:t xml:space="preserve"> </w:t>
      </w:r>
      <w:r w:rsidRPr="00144209">
        <w:rPr>
          <w:position w:val="-6"/>
          <w:sz w:val="20"/>
          <w:szCs w:val="20"/>
          <w:lang w:val="ru-RU"/>
        </w:rPr>
        <w:object w:dxaOrig="580" w:dyaOrig="279" w14:anchorId="33D53A57">
          <v:shape id="_x0000_i1038" type="#_x0000_t75" style="width:28.8pt;height:13.8pt" o:ole="">
            <v:imagedata r:id="rId30" o:title=""/>
          </v:shape>
          <o:OLEObject Type="Embed" ProgID="Equation.DSMT4" ShapeID="_x0000_i1038" DrawAspect="Content" ObjectID="_1808734888" r:id="rId31"/>
        </w:object>
      </w:r>
      <w:r w:rsidR="009677A0" w:rsidRPr="008E3975">
        <w:rPr>
          <w:sz w:val="20"/>
          <w:szCs w:val="20"/>
        </w:rPr>
        <w:t>–</w:t>
      </w:r>
      <w:r w:rsidR="009677A0" w:rsidRPr="009677A0">
        <w:rPr>
          <w:sz w:val="20"/>
          <w:szCs w:val="20"/>
          <w:lang w:val="ru-RU"/>
        </w:rPr>
        <w:t xml:space="preserve"> </w:t>
      </w:r>
      <w:r w:rsidR="007574F3" w:rsidRPr="007574F3">
        <w:rPr>
          <w:sz w:val="20"/>
          <w:szCs w:val="20"/>
        </w:rPr>
        <w:t>регуляризаційний параметр, що визначає ступінь згладжування</w:t>
      </w:r>
      <w:r w:rsidR="005E7E71" w:rsidRPr="00732FB2">
        <w:rPr>
          <w:sz w:val="20"/>
          <w:szCs w:val="20"/>
          <w:lang w:val="ru-RU"/>
        </w:rPr>
        <w:t>.</w:t>
      </w:r>
    </w:p>
    <w:p w14:paraId="527336DC" w14:textId="77777777" w:rsidR="00732FB2" w:rsidRPr="00732FB2" w:rsidRDefault="00732FB2" w:rsidP="0093123F">
      <w:pPr>
        <w:ind w:firstLine="142"/>
        <w:rPr>
          <w:sz w:val="20"/>
          <w:szCs w:val="20"/>
        </w:rPr>
      </w:pPr>
      <w:r w:rsidRPr="00732FB2">
        <w:rPr>
          <w:sz w:val="20"/>
          <w:szCs w:val="20"/>
        </w:rPr>
        <w:t>Таким чином, чим менше спільних оцінок між користувачами, тим сильніше згладжується значення схожості. Це дозволяє зменшити вплив випадкових або статистично ненадійних збігів.</w:t>
      </w:r>
    </w:p>
    <w:p w14:paraId="290C74A2" w14:textId="2BF5C891" w:rsidR="00732FB2" w:rsidRPr="00721875" w:rsidRDefault="00732FB2" w:rsidP="00732FB2">
      <w:pPr>
        <w:rPr>
          <w:sz w:val="20"/>
          <w:szCs w:val="20"/>
        </w:rPr>
      </w:pPr>
      <w:r w:rsidRPr="00732FB2">
        <w:rPr>
          <w:sz w:val="20"/>
          <w:szCs w:val="20"/>
        </w:rPr>
        <w:t>На основі скоригованої схожості обчислюється прогнозована оцінка для користувача</w:t>
      </w:r>
      <w:r w:rsidRPr="00721875">
        <w:rPr>
          <w:sz w:val="20"/>
          <w:szCs w:val="20"/>
        </w:rPr>
        <w:t xml:space="preserve"> </w:t>
      </w:r>
      <w:r>
        <w:rPr>
          <w:sz w:val="20"/>
          <w:szCs w:val="20"/>
          <w:lang w:val="en-US"/>
        </w:rPr>
        <w:t>u</w:t>
      </w:r>
      <w:r w:rsidRPr="00721875">
        <w:rPr>
          <w:sz w:val="20"/>
          <w:szCs w:val="20"/>
        </w:rPr>
        <w:t xml:space="preserve"> щодо об'єкта</w:t>
      </w:r>
      <w:r>
        <w:rPr>
          <w:sz w:val="20"/>
          <w:szCs w:val="20"/>
        </w:rPr>
        <w:t xml:space="preserve"> </w:t>
      </w:r>
      <w:r>
        <w:rPr>
          <w:sz w:val="20"/>
          <w:szCs w:val="20"/>
          <w:lang w:val="en-US"/>
        </w:rPr>
        <w:t>i</w:t>
      </w:r>
      <w:r w:rsidR="00BA65FD" w:rsidRPr="00721875">
        <w:rPr>
          <w:sz w:val="20"/>
          <w:szCs w:val="20"/>
        </w:rPr>
        <w:t>:</w:t>
      </w:r>
    </w:p>
    <w:p w14:paraId="7110FF17" w14:textId="2449E352" w:rsidR="003721A9" w:rsidRDefault="003721A9" w:rsidP="00573B9A">
      <w:pPr>
        <w:jc w:val="center"/>
        <w:rPr>
          <w:sz w:val="20"/>
          <w:szCs w:val="20"/>
          <w:lang w:val="en-US"/>
        </w:rPr>
      </w:pPr>
      <w:r w:rsidRPr="003721A9">
        <w:rPr>
          <w:position w:val="-50"/>
          <w:sz w:val="20"/>
          <w:szCs w:val="20"/>
          <w:lang w:val="en-US"/>
        </w:rPr>
        <w:object w:dxaOrig="3440" w:dyaOrig="1120" w14:anchorId="33CAEB73">
          <v:shape id="_x0000_i1039" type="#_x0000_t75" style="width:172.2pt;height:55.8pt" o:ole="">
            <v:imagedata r:id="rId32" o:title=""/>
          </v:shape>
          <o:OLEObject Type="Embed" ProgID="Equation.DSMT4" ShapeID="_x0000_i1039" DrawAspect="Content" ObjectID="_1808734889" r:id="rId33"/>
        </w:object>
      </w:r>
      <w:r w:rsidR="00560286">
        <w:rPr>
          <w:sz w:val="20"/>
          <w:szCs w:val="20"/>
          <w:lang w:val="en-US"/>
        </w:rPr>
        <w:t xml:space="preserve">   (3)</w:t>
      </w:r>
    </w:p>
    <w:p w14:paraId="55BD79EE" w14:textId="14081430" w:rsidR="006C4C36" w:rsidRPr="00573B9A" w:rsidRDefault="009677A0" w:rsidP="00732FB2">
      <w:pPr>
        <w:rPr>
          <w:sz w:val="20"/>
          <w:szCs w:val="20"/>
          <w:lang w:val="ru-RU"/>
        </w:rPr>
      </w:pPr>
      <w:r w:rsidRPr="009677A0">
        <w:rPr>
          <w:position w:val="-14"/>
          <w:sz w:val="20"/>
          <w:szCs w:val="20"/>
          <w:lang w:val="en-US"/>
        </w:rPr>
        <w:object w:dxaOrig="639" w:dyaOrig="400" w14:anchorId="73DFB372">
          <v:shape id="_x0000_i1040" type="#_x0000_t75" style="width:31.8pt;height:19.8pt" o:ole="">
            <v:imagedata r:id="rId34" o:title=""/>
          </v:shape>
          <o:OLEObject Type="Embed" ProgID="Equation.DSMT4" ShapeID="_x0000_i1040" DrawAspect="Content" ObjectID="_1808734890" r:id="rId35"/>
        </w:object>
      </w:r>
      <w:r w:rsidRPr="008E3975">
        <w:rPr>
          <w:sz w:val="20"/>
          <w:szCs w:val="20"/>
        </w:rPr>
        <w:t>–</w:t>
      </w:r>
      <w:r w:rsidRPr="009677A0">
        <w:rPr>
          <w:sz w:val="20"/>
          <w:szCs w:val="20"/>
          <w:lang w:val="ru-RU"/>
        </w:rPr>
        <w:t xml:space="preserve"> </w:t>
      </w:r>
      <w:r w:rsidRPr="009677A0">
        <w:rPr>
          <w:sz w:val="20"/>
          <w:szCs w:val="20"/>
        </w:rPr>
        <w:t>множина користувачів, які оцінили об’єкт</w:t>
      </w:r>
      <w:r w:rsidRPr="009677A0">
        <w:rPr>
          <w:sz w:val="20"/>
          <w:szCs w:val="20"/>
          <w:lang w:val="ru-RU"/>
        </w:rPr>
        <w:t xml:space="preserve"> </w:t>
      </w:r>
      <w:r w:rsidR="00EA7960" w:rsidRPr="00EA7960">
        <w:rPr>
          <w:position w:val="-6"/>
          <w:sz w:val="20"/>
          <w:szCs w:val="20"/>
          <w:lang w:val="ru-RU"/>
        </w:rPr>
        <w:object w:dxaOrig="139" w:dyaOrig="260" w14:anchorId="6FBCC121">
          <v:shape id="_x0000_i1041" type="#_x0000_t75" style="width:7.2pt;height:13.2pt" o:ole="">
            <v:imagedata r:id="rId36" o:title=""/>
          </v:shape>
          <o:OLEObject Type="Embed" ProgID="Equation.DSMT4" ShapeID="_x0000_i1041" DrawAspect="Content" ObjectID="_1808734891" r:id="rId37"/>
        </w:object>
      </w:r>
      <w:r w:rsidR="00EA7960">
        <w:rPr>
          <w:sz w:val="20"/>
          <w:szCs w:val="20"/>
        </w:rPr>
        <w:t xml:space="preserve">та </w:t>
      </w:r>
      <w:r w:rsidR="00EA7960" w:rsidRPr="00EA7960">
        <w:rPr>
          <w:sz w:val="20"/>
          <w:szCs w:val="20"/>
        </w:rPr>
        <w:t>мають схожість із користувачем</w:t>
      </w:r>
      <w:r w:rsidR="00EA7960" w:rsidRPr="00EA7960">
        <w:rPr>
          <w:sz w:val="20"/>
          <w:szCs w:val="20"/>
          <w:lang w:val="ru-RU"/>
        </w:rPr>
        <w:t xml:space="preserve"> </w:t>
      </w:r>
      <w:r w:rsidR="00EA7960" w:rsidRPr="00EA7960">
        <w:rPr>
          <w:position w:val="-6"/>
          <w:sz w:val="20"/>
          <w:szCs w:val="20"/>
          <w:lang w:val="ru-RU"/>
        </w:rPr>
        <w:object w:dxaOrig="200" w:dyaOrig="220" w14:anchorId="3E7DB08F">
          <v:shape id="_x0000_i1042" type="#_x0000_t75" style="width:10.2pt;height:10.8pt" o:ole="">
            <v:imagedata r:id="rId38" o:title=""/>
          </v:shape>
          <o:OLEObject Type="Embed" ProgID="Equation.DSMT4" ShapeID="_x0000_i1042" DrawAspect="Content" ObjectID="_1808734892" r:id="rId39"/>
        </w:object>
      </w:r>
      <w:r w:rsidR="002C1B0A" w:rsidRPr="002C1B0A">
        <w:rPr>
          <w:sz w:val="20"/>
          <w:szCs w:val="20"/>
          <w:lang w:val="ru-RU"/>
        </w:rPr>
        <w:t>.</w:t>
      </w:r>
    </w:p>
    <w:p w14:paraId="03889E78" w14:textId="77777777" w:rsidR="00226A34" w:rsidRDefault="00226A34" w:rsidP="00732FB2">
      <w:pPr>
        <w:rPr>
          <w:sz w:val="20"/>
          <w:szCs w:val="20"/>
        </w:rPr>
        <w:sectPr w:rsidR="00226A34" w:rsidSect="00905C3D">
          <w:type w:val="continuous"/>
          <w:pgSz w:w="11906" w:h="16838"/>
          <w:pgMar w:top="1440" w:right="1440" w:bottom="1440" w:left="1440" w:header="708" w:footer="708" w:gutter="0"/>
          <w:cols w:num="2" w:space="708"/>
          <w:docGrid w:linePitch="360"/>
        </w:sectPr>
      </w:pPr>
    </w:p>
    <w:p w14:paraId="6E468875" w14:textId="428D9413" w:rsidR="00573B9A" w:rsidRPr="00226A34" w:rsidRDefault="00573B9A" w:rsidP="0093123F">
      <w:pPr>
        <w:ind w:firstLine="142"/>
        <w:rPr>
          <w:sz w:val="20"/>
          <w:szCs w:val="20"/>
        </w:rPr>
      </w:pPr>
      <w:r w:rsidRPr="00573B9A">
        <w:rPr>
          <w:sz w:val="20"/>
          <w:szCs w:val="20"/>
        </w:rPr>
        <w:t>Запропонована математична модель дозволяє сформувати більш стійкі та надійні рекомендації у випадках, коли інформація про користувачів є частково відсутньою, а матриця оцінок має високий ступінь розрідженості.</w:t>
      </w:r>
    </w:p>
    <w:p w14:paraId="1E512ACB" w14:textId="0CD18A69" w:rsidR="00226A34" w:rsidRPr="00944D97" w:rsidRDefault="00226A34" w:rsidP="00944D97">
      <w:pPr>
        <w:keepNext/>
        <w:keepLines/>
        <w:tabs>
          <w:tab w:val="left" w:pos="216"/>
        </w:tabs>
        <w:spacing w:before="120" w:line="240" w:lineRule="auto"/>
        <w:jc w:val="center"/>
        <w:outlineLvl w:val="0"/>
        <w:rPr>
          <w:rFonts w:eastAsia="MS Mincho"/>
          <w:bCs/>
          <w:smallCaps/>
          <w:kern w:val="32"/>
          <w:sz w:val="20"/>
          <w:szCs w:val="20"/>
          <w:lang w:eastAsia="x-none"/>
        </w:rPr>
      </w:pPr>
      <w:r w:rsidRPr="00944D97">
        <w:rPr>
          <w:rFonts w:eastAsia="MS Mincho"/>
          <w:bCs/>
          <w:smallCaps/>
          <w:kern w:val="32"/>
          <w:sz w:val="20"/>
          <w:szCs w:val="20"/>
          <w:lang w:eastAsia="x-none"/>
        </w:rPr>
        <w:t>Результати експериментальних досліджень</w:t>
      </w:r>
    </w:p>
    <w:p w14:paraId="46011016" w14:textId="65F8697C" w:rsidR="00226A34" w:rsidRPr="00226A34" w:rsidRDefault="00226A34" w:rsidP="0093123F">
      <w:pPr>
        <w:ind w:firstLine="142"/>
        <w:rPr>
          <w:sz w:val="20"/>
          <w:szCs w:val="20"/>
        </w:rPr>
      </w:pPr>
      <w:r w:rsidRPr="00226A34">
        <w:rPr>
          <w:sz w:val="20"/>
          <w:szCs w:val="20"/>
        </w:rPr>
        <w:t>У межах дослідження було проведено серію експериментів із моделюванням різних рівнів розрідженості даних. Матриця оцінок складалася з 50 користувачів і 20 об’єктів, де поступово збільшувався відсоток відсутніх значень — від 10% до 55%. Основна увага приділялася оцінці якості рекомендацій у випадках, коли частка пропущених оцінок перевищувала 30%, оскільки саме в цих умовах класичний метод Пірсона демонструє найменшу стабільність</w:t>
      </w:r>
      <w:r w:rsidR="00903FA4" w:rsidRPr="00903FA4">
        <w:rPr>
          <w:sz w:val="20"/>
          <w:szCs w:val="20"/>
          <w:lang w:val="ru-RU"/>
        </w:rPr>
        <w:t xml:space="preserve"> [</w:t>
      </w:r>
      <w:r w:rsidR="00903FA4" w:rsidRPr="0093123F">
        <w:rPr>
          <w:sz w:val="20"/>
          <w:szCs w:val="20"/>
          <w:lang w:val="ru-RU"/>
        </w:rPr>
        <w:t>3</w:t>
      </w:r>
      <w:r w:rsidR="00903FA4" w:rsidRPr="00903FA4">
        <w:rPr>
          <w:sz w:val="20"/>
          <w:szCs w:val="20"/>
          <w:lang w:val="ru-RU"/>
        </w:rPr>
        <w:t>]</w:t>
      </w:r>
      <w:r w:rsidRPr="00226A34">
        <w:rPr>
          <w:sz w:val="20"/>
          <w:szCs w:val="20"/>
        </w:rPr>
        <w:t>.</w:t>
      </w:r>
    </w:p>
    <w:p w14:paraId="31D2F90E" w14:textId="256BC63F" w:rsidR="00226A34" w:rsidRPr="00560286" w:rsidRDefault="00226A34" w:rsidP="0093123F">
      <w:pPr>
        <w:ind w:firstLine="142"/>
        <w:rPr>
          <w:sz w:val="20"/>
          <w:szCs w:val="20"/>
        </w:rPr>
      </w:pPr>
      <w:r w:rsidRPr="00226A34">
        <w:rPr>
          <w:sz w:val="20"/>
          <w:szCs w:val="20"/>
        </w:rPr>
        <w:t xml:space="preserve">На </w:t>
      </w:r>
      <w:r w:rsidR="0093123F">
        <w:rPr>
          <w:sz w:val="20"/>
          <w:szCs w:val="20"/>
        </w:rPr>
        <w:t>рис. 1.</w:t>
      </w:r>
      <w:r w:rsidRPr="00226A34">
        <w:rPr>
          <w:sz w:val="20"/>
          <w:szCs w:val="20"/>
        </w:rPr>
        <w:t xml:space="preserve"> чітко спостерігається тенденція: зі зростанням рівня розрідженості показники MAE і RMSE для класичного підходу зростають значно швидше, ніж для регуляризованої версії. Найбільш виражена різниця фіксується після позначки у 40% пропущених оцінок. У цьому діапазоні регуляризований метод утримує більш плавне зростання похибки, тоді як класичний втрачає точність різко і нерівномірно.</w:t>
      </w:r>
    </w:p>
    <w:p w14:paraId="05A9587E" w14:textId="49580E2E" w:rsidR="00226A34" w:rsidRPr="00226A34" w:rsidRDefault="00226A34" w:rsidP="00721D65">
      <w:pPr>
        <w:ind w:firstLine="142"/>
        <w:rPr>
          <w:sz w:val="20"/>
          <w:szCs w:val="20"/>
        </w:rPr>
      </w:pPr>
      <w:r w:rsidRPr="00226A34">
        <w:rPr>
          <w:sz w:val="20"/>
          <w:szCs w:val="20"/>
        </w:rPr>
        <w:t>Ще один помітний ефект — це стабільність метрик Precision і F1-score при зміні рівня відсутніх даних. Якщо для класичного алгоритму ці значення знижуються вже при 30–35% пропусків, то у вдосконаленого варіанту спостерігається стійкий результат навіть при 50% порожніх комірок. Це свідчить не лише про поліпшення абсолютних значень похибки, але й про більш надійне функціонування алгоритму за умов нестачі інформації.</w:t>
      </w:r>
    </w:p>
    <w:p w14:paraId="4CB49B69" w14:textId="699FC09D" w:rsidR="00226A34" w:rsidRPr="007164BC" w:rsidRDefault="00226A34" w:rsidP="00721D65">
      <w:pPr>
        <w:ind w:firstLine="142"/>
        <w:rPr>
          <w:sz w:val="20"/>
          <w:szCs w:val="20"/>
        </w:rPr>
      </w:pPr>
      <w:r w:rsidRPr="00226A34">
        <w:rPr>
          <w:sz w:val="20"/>
          <w:szCs w:val="20"/>
        </w:rPr>
        <w:t xml:space="preserve">Особливу увагу було приділено впливу параметра регуляризації λ. Як показали експерименти, надто малі значення цього параметра не усувають проблему нестабільності, тоді як надто великі можуть призводити до заниження оцінки схожості навіть у релевантних парах. Оптимальним виявився діапазон </w:t>
      </w:r>
      <w:r w:rsidR="00466F3D" w:rsidRPr="00226A34">
        <w:rPr>
          <w:sz w:val="20"/>
          <w:szCs w:val="20"/>
        </w:rPr>
        <w:t>λ</w:t>
      </w:r>
      <w:r w:rsidR="00466F3D" w:rsidRPr="00466F3D">
        <w:rPr>
          <w:sz w:val="20"/>
          <w:szCs w:val="20"/>
        </w:rPr>
        <w:t xml:space="preserve"> </w:t>
      </w:r>
      <w:r w:rsidR="00466F3D">
        <w:rPr>
          <w:sz w:val="20"/>
          <w:szCs w:val="20"/>
        </w:rPr>
        <w:t>від 10 до 40</w:t>
      </w:r>
      <w:r w:rsidRPr="00226A34">
        <w:rPr>
          <w:sz w:val="20"/>
          <w:szCs w:val="20"/>
        </w:rPr>
        <w:t>, де баланс між надійністю і чутливістю алгоритму є найбільш ефективним.</w:t>
      </w:r>
    </w:p>
    <w:p w14:paraId="66D30D00" w14:textId="21B13F68" w:rsidR="00226A34" w:rsidRPr="008207F7" w:rsidRDefault="00226A34" w:rsidP="00721D65">
      <w:pPr>
        <w:ind w:firstLine="142"/>
        <w:rPr>
          <w:sz w:val="20"/>
          <w:szCs w:val="20"/>
          <w:lang w:val="ru-RU"/>
        </w:rPr>
        <w:sectPr w:rsidR="00226A34" w:rsidRPr="008207F7" w:rsidSect="00226A34">
          <w:type w:val="continuous"/>
          <w:pgSz w:w="11906" w:h="16838"/>
          <w:pgMar w:top="1440" w:right="1440" w:bottom="1440" w:left="1440" w:header="708" w:footer="708" w:gutter="0"/>
          <w:cols w:num="2" w:space="708"/>
          <w:docGrid w:linePitch="360"/>
        </w:sectPr>
      </w:pPr>
      <w:r w:rsidRPr="00226A34">
        <w:rPr>
          <w:sz w:val="20"/>
          <w:szCs w:val="20"/>
        </w:rPr>
        <w:t>Загалом, результати свідчать про помітну зміну динаміки похибок і точності залежно від розрідженості, причому саме вдосконалений метод демонструє більш передбачувану поведінку, що особливо важливо в практичних сценаріях з неповними даними.</w:t>
      </w:r>
    </w:p>
    <w:p w14:paraId="588E1067" w14:textId="754582FB" w:rsidR="00226A34" w:rsidRPr="008207F7" w:rsidRDefault="00844549" w:rsidP="00732FB2">
      <w:pPr>
        <w:rPr>
          <w:sz w:val="20"/>
          <w:szCs w:val="20"/>
          <w:lang w:val="ru-RU"/>
        </w:rPr>
      </w:pPr>
      <w:r w:rsidRPr="00226A34">
        <w:rPr>
          <w:noProof/>
          <w:sz w:val="20"/>
          <w:szCs w:val="20"/>
        </w:rPr>
        <mc:AlternateContent>
          <mc:Choice Requires="wps">
            <w:drawing>
              <wp:anchor distT="45720" distB="45720" distL="114300" distR="114300" simplePos="0" relativeHeight="251659264" behindDoc="0" locked="0" layoutInCell="1" allowOverlap="1" wp14:anchorId="709B632B" wp14:editId="18F3B254">
                <wp:simplePos x="0" y="0"/>
                <wp:positionH relativeFrom="column">
                  <wp:posOffset>91440</wp:posOffset>
                </wp:positionH>
                <wp:positionV relativeFrom="paragraph">
                  <wp:posOffset>73025</wp:posOffset>
                </wp:positionV>
                <wp:extent cx="5539740" cy="3253740"/>
                <wp:effectExtent l="0" t="0" r="22860" b="2286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3253740"/>
                        </a:xfrm>
                        <a:prstGeom prst="rect">
                          <a:avLst/>
                        </a:prstGeom>
                        <a:solidFill>
                          <a:srgbClr val="FFFFFF"/>
                        </a:solidFill>
                        <a:ln w="9525">
                          <a:solidFill>
                            <a:srgbClr val="000000"/>
                          </a:solidFill>
                          <a:miter lim="800000"/>
                          <a:headEnd/>
                          <a:tailEnd/>
                        </a:ln>
                      </wps:spPr>
                      <wps:txbx>
                        <w:txbxContent>
                          <w:p w14:paraId="0F2A9102" w14:textId="1F5435DD" w:rsidR="00226A34" w:rsidRDefault="00226A34">
                            <w:r w:rsidRPr="00226A34">
                              <w:rPr>
                                <w:noProof/>
                              </w:rPr>
                              <w:drawing>
                                <wp:inline distT="0" distB="0" distL="0" distR="0" wp14:anchorId="7CA31ED2" wp14:editId="26B2E28D">
                                  <wp:extent cx="5303520" cy="3124200"/>
                                  <wp:effectExtent l="0" t="0" r="11430" b="0"/>
                                  <wp:docPr id="2095315160" name="Диаграмма 1">
                                    <a:extLst xmlns:a="http://schemas.openxmlformats.org/drawingml/2006/main">
                                      <a:ext uri="{FF2B5EF4-FFF2-40B4-BE49-F238E27FC236}">
                                        <a16:creationId xmlns:a16="http://schemas.microsoft.com/office/drawing/2014/main" id="{26380BC5-377B-0150-3976-0FB6D80BF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B632B" id="_x0000_t202" coordsize="21600,21600" o:spt="202" path="m,l,21600r21600,l21600,xe">
                <v:stroke joinstyle="miter"/>
                <v:path gradientshapeok="t" o:connecttype="rect"/>
              </v:shapetype>
              <v:shape id="Надпись 2" o:spid="_x0000_s1026" type="#_x0000_t202" style="position:absolute;left:0;text-align:left;margin-left:7.2pt;margin-top:5.75pt;width:436.2pt;height:25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">
                <v:textbox>
                  <w:txbxContent>
                    <w:p w14:paraId="0F2A9102" w14:textId="1F5435DD" w:rsidR="00226A34" w:rsidRDefault="00226A34">
                      <w:r w:rsidRPr="00226A34">
                        <w:rPr>
                          <w:noProof/>
                        </w:rPr>
                        <w:drawing>
                          <wp:inline distT="0" distB="0" distL="0" distR="0" wp14:anchorId="7CA31ED2" wp14:editId="26B2E28D">
                            <wp:extent cx="5303520" cy="3124200"/>
                            <wp:effectExtent l="0" t="0" r="11430" b="0"/>
                            <wp:docPr id="2095315160" name="Диаграмма 1">
                              <a:extLst xmlns:a="http://schemas.openxmlformats.org/drawingml/2006/main">
                                <a:ext uri="{FF2B5EF4-FFF2-40B4-BE49-F238E27FC236}">
                                  <a16:creationId xmlns:a16="http://schemas.microsoft.com/office/drawing/2014/main" id="{26380BC5-377B-0150-3976-0FB6D80BF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v:textbox>
                <w10:wrap type="square"/>
              </v:shape>
            </w:pict>
          </mc:Fallback>
        </mc:AlternateContent>
      </w:r>
    </w:p>
    <w:p w14:paraId="2F649AF6" w14:textId="66D5C155" w:rsidR="00732FB2" w:rsidRPr="00466F3D" w:rsidRDefault="00466F3D" w:rsidP="00144209">
      <w:pPr>
        <w:rPr>
          <w:sz w:val="16"/>
          <w:szCs w:val="16"/>
          <w:lang w:val="ru-RU"/>
        </w:rPr>
      </w:pPr>
      <w:r w:rsidRPr="00466F3D">
        <w:rPr>
          <w:sz w:val="16"/>
          <w:szCs w:val="16"/>
          <w:lang w:eastAsia="ru-RU"/>
        </w:rPr>
        <w:t>Рис. 1</w:t>
      </w:r>
      <w:r w:rsidR="00966AC0" w:rsidRPr="00C278FC">
        <w:rPr>
          <w:sz w:val="16"/>
          <w:szCs w:val="16"/>
          <w:lang w:val="ru-RU" w:eastAsia="ru-RU"/>
        </w:rPr>
        <w:t>.</w:t>
      </w:r>
      <w:r w:rsidRPr="00466F3D">
        <w:rPr>
          <w:sz w:val="16"/>
          <w:szCs w:val="16"/>
          <w:lang w:val="ru-RU" w:eastAsia="ru-RU"/>
        </w:rPr>
        <w:t xml:space="preserve"> </w:t>
      </w:r>
      <w:r w:rsidR="00226A34" w:rsidRPr="00466F3D">
        <w:rPr>
          <w:sz w:val="16"/>
          <w:szCs w:val="16"/>
        </w:rPr>
        <w:t>Порівняння критеріїв оцінки рекомендацій для кореляції Пірсона та удосконаленого методу для різної частки відсутніх оцінок</w:t>
      </w:r>
    </w:p>
    <w:p w14:paraId="0E22D019" w14:textId="77777777" w:rsidR="00844549" w:rsidRPr="007164BC" w:rsidRDefault="00844549" w:rsidP="00144209">
      <w:pPr>
        <w:rPr>
          <w:sz w:val="20"/>
          <w:szCs w:val="20"/>
          <w:lang w:val="ru-RU"/>
        </w:rPr>
      </w:pPr>
    </w:p>
    <w:p w14:paraId="34A0A7B0" w14:textId="77777777" w:rsidR="00706759" w:rsidRDefault="00706759" w:rsidP="00706759">
      <w:pPr>
        <w:rPr>
          <w:b/>
          <w:bCs/>
          <w:sz w:val="20"/>
          <w:szCs w:val="20"/>
        </w:rPr>
        <w:sectPr w:rsidR="00706759" w:rsidSect="001D4E8E">
          <w:type w:val="continuous"/>
          <w:pgSz w:w="11906" w:h="16838"/>
          <w:pgMar w:top="1440" w:right="1440" w:bottom="1440" w:left="1440" w:header="708" w:footer="708" w:gutter="0"/>
          <w:cols w:space="708"/>
          <w:docGrid w:linePitch="360"/>
        </w:sectPr>
      </w:pPr>
    </w:p>
    <w:p w14:paraId="3FF90261" w14:textId="394E0991" w:rsidR="00706759" w:rsidRPr="00944D97" w:rsidRDefault="00706759" w:rsidP="00944D97">
      <w:pPr>
        <w:keepNext/>
        <w:keepLines/>
        <w:tabs>
          <w:tab w:val="left" w:pos="216"/>
        </w:tabs>
        <w:spacing w:before="120" w:line="240" w:lineRule="auto"/>
        <w:jc w:val="center"/>
        <w:outlineLvl w:val="0"/>
        <w:rPr>
          <w:rFonts w:eastAsia="MS Mincho"/>
          <w:bCs/>
          <w:smallCaps/>
          <w:kern w:val="32"/>
          <w:sz w:val="20"/>
          <w:szCs w:val="20"/>
          <w:lang w:eastAsia="x-none"/>
        </w:rPr>
      </w:pPr>
      <w:r w:rsidRPr="00944D97">
        <w:rPr>
          <w:rFonts w:eastAsia="MS Mincho"/>
          <w:bCs/>
          <w:smallCaps/>
          <w:kern w:val="32"/>
          <w:sz w:val="20"/>
          <w:szCs w:val="20"/>
          <w:lang w:eastAsia="x-none"/>
        </w:rPr>
        <w:t>Виснов</w:t>
      </w:r>
      <w:r w:rsidR="00FA6015" w:rsidRPr="00944D97">
        <w:rPr>
          <w:rFonts w:eastAsia="MS Mincho"/>
          <w:bCs/>
          <w:smallCaps/>
          <w:kern w:val="32"/>
          <w:sz w:val="20"/>
          <w:szCs w:val="20"/>
          <w:lang w:eastAsia="x-none"/>
        </w:rPr>
        <w:t>ки</w:t>
      </w:r>
    </w:p>
    <w:p w14:paraId="4EDD246C" w14:textId="77777777" w:rsidR="00706759" w:rsidRPr="007164BC" w:rsidRDefault="00706759" w:rsidP="00721D65">
      <w:pPr>
        <w:ind w:firstLine="142"/>
        <w:rPr>
          <w:sz w:val="20"/>
          <w:szCs w:val="20"/>
          <w:lang w:val="ru-RU"/>
        </w:rPr>
      </w:pPr>
      <w:r w:rsidRPr="00706759">
        <w:rPr>
          <w:sz w:val="20"/>
          <w:szCs w:val="20"/>
        </w:rPr>
        <w:t>Запропонований у роботі метод удосконалення кореляції Пірсона шляхом регуляризації демонструє підвищену стійкість до проблеми розрідженості матриці. Завдяки врахуванню кількості спільно оцінених об’єктів в обчисленні схожості вдалося зменшити похибки та покращити якість рекомендацій. Отримані результати підтверджують доцільність застосування цього підходу у практичних системах, де дані є неповними або частково відсутні.</w:t>
      </w:r>
    </w:p>
    <w:p w14:paraId="13B6C5ED" w14:textId="21C23FAF" w:rsidR="0061485A" w:rsidRPr="00944D97" w:rsidRDefault="0061485A" w:rsidP="00944D97">
      <w:pPr>
        <w:pStyle w:val="5"/>
        <w:keepNext w:val="0"/>
        <w:keepLines w:val="0"/>
        <w:tabs>
          <w:tab w:val="left" w:pos="360"/>
        </w:tabs>
        <w:spacing w:before="120" w:after="0" w:line="240" w:lineRule="auto"/>
        <w:jc w:val="center"/>
        <w:rPr>
          <w:rFonts w:ascii="Times New Roman" w:eastAsia="MS Mincho" w:hAnsi="Times New Roman" w:cs="Times New Roman"/>
          <w:bCs/>
          <w:iCs/>
          <w:smallCaps/>
          <w:color w:val="auto"/>
          <w:kern w:val="0"/>
          <w:sz w:val="20"/>
          <w:szCs w:val="20"/>
          <w:lang w:eastAsia="x-none"/>
          <w14:ligatures w14:val="none"/>
        </w:rPr>
      </w:pPr>
      <w:r w:rsidRPr="00944D97">
        <w:rPr>
          <w:rFonts w:ascii="Times New Roman" w:eastAsia="MS Mincho" w:hAnsi="Times New Roman" w:cs="Times New Roman"/>
          <w:bCs/>
          <w:iCs/>
          <w:smallCaps/>
          <w:color w:val="auto"/>
          <w:kern w:val="0"/>
          <w:sz w:val="20"/>
          <w:szCs w:val="20"/>
          <w:lang w:eastAsia="x-none"/>
          <w14:ligatures w14:val="none"/>
        </w:rPr>
        <w:t>Лiтература</w:t>
      </w:r>
    </w:p>
    <w:p w14:paraId="786EE79C" w14:textId="4C81418D" w:rsidR="00064B1F" w:rsidRPr="00944D97" w:rsidRDefault="00064B1F" w:rsidP="00944D97">
      <w:pPr>
        <w:pStyle w:val="af2"/>
        <w:numPr>
          <w:ilvl w:val="0"/>
          <w:numId w:val="3"/>
        </w:numPr>
        <w:tabs>
          <w:tab w:val="clear" w:pos="288"/>
          <w:tab w:val="left" w:pos="567"/>
        </w:tabs>
        <w:spacing w:after="0" w:line="240" w:lineRule="auto"/>
        <w:ind w:left="0" w:firstLine="284"/>
        <w:rPr>
          <w:rFonts w:eastAsia="Times New Roman"/>
          <w:color w:val="000000"/>
          <w:lang w:val="uk-UA" w:eastAsia="ru-RU"/>
        </w:rPr>
      </w:pPr>
      <w:r w:rsidRPr="00944D97">
        <w:rPr>
          <w:rFonts w:eastAsia="Times New Roman"/>
          <w:color w:val="000000"/>
          <w:lang w:val="uk-UA" w:eastAsia="ru-RU"/>
        </w:rPr>
        <w:t>Anwar T., Uma V. Comparative study of recommender system approaches and movie recommendation using collaborative filtering // Int. J. Syst. Assurance Eng. Manage. – 2021. – Vol. 12, No. 3. – P. 426–436.</w:t>
      </w:r>
    </w:p>
    <w:p w14:paraId="51B84116" w14:textId="6EB835D0" w:rsidR="00064B1F" w:rsidRPr="00944D97" w:rsidRDefault="00064B1F" w:rsidP="00944D97">
      <w:pPr>
        <w:pStyle w:val="af2"/>
        <w:numPr>
          <w:ilvl w:val="0"/>
          <w:numId w:val="3"/>
        </w:numPr>
        <w:tabs>
          <w:tab w:val="clear" w:pos="288"/>
          <w:tab w:val="left" w:pos="567"/>
        </w:tabs>
        <w:spacing w:after="0" w:line="240" w:lineRule="auto"/>
        <w:ind w:left="0" w:firstLine="284"/>
        <w:rPr>
          <w:rFonts w:eastAsia="Times New Roman"/>
          <w:color w:val="000000"/>
          <w:lang w:val="uk-UA" w:eastAsia="ru-RU"/>
        </w:rPr>
      </w:pPr>
      <w:r w:rsidRPr="00944D97">
        <w:rPr>
          <w:rFonts w:eastAsia="Times New Roman"/>
          <w:color w:val="000000"/>
          <w:lang w:val="uk-UA" w:eastAsia="ru-RU"/>
        </w:rPr>
        <w:t>Haruna K., Akmar I. M., Damiasih D. et al. A collaborative approach for research paper recommender system // PLoS ONE. – 2017. – Vol. 12, No. 10. – e0184516.</w:t>
      </w:r>
    </w:p>
    <w:p w14:paraId="24A5CBAD" w14:textId="50DBFBC7" w:rsidR="00064B1F" w:rsidRPr="00944D97" w:rsidRDefault="00064B1F" w:rsidP="00944D97">
      <w:pPr>
        <w:pStyle w:val="af2"/>
        <w:numPr>
          <w:ilvl w:val="0"/>
          <w:numId w:val="3"/>
        </w:numPr>
        <w:tabs>
          <w:tab w:val="clear" w:pos="288"/>
          <w:tab w:val="left" w:pos="567"/>
        </w:tabs>
        <w:spacing w:after="0" w:line="240" w:lineRule="auto"/>
        <w:ind w:left="0" w:firstLine="284"/>
        <w:rPr>
          <w:rFonts w:eastAsia="Times New Roman"/>
          <w:color w:val="000000"/>
          <w:lang w:val="uk-UA" w:eastAsia="ru-RU"/>
        </w:rPr>
      </w:pPr>
      <w:r w:rsidRPr="00944D97">
        <w:rPr>
          <w:rFonts w:eastAsia="Times New Roman"/>
          <w:color w:val="000000"/>
          <w:lang w:val="uk-UA" w:eastAsia="ru-RU"/>
        </w:rPr>
        <w:t>Lin K., Sonboli N., Mobasher B., Burke R. Calibration in collaborative filtering recommender systems: a user-centered analysis // Proc. 31st ACM Conf. on Hypertext and Social Media. – 2020. – P. 197–206.</w:t>
      </w:r>
    </w:p>
    <w:p w14:paraId="078367CB" w14:textId="3EEA79EE" w:rsidR="00064B1F" w:rsidRPr="00944D97" w:rsidRDefault="00064B1F" w:rsidP="00944D97">
      <w:pPr>
        <w:pStyle w:val="af2"/>
        <w:numPr>
          <w:ilvl w:val="0"/>
          <w:numId w:val="3"/>
        </w:numPr>
        <w:tabs>
          <w:tab w:val="clear" w:pos="288"/>
          <w:tab w:val="left" w:pos="567"/>
        </w:tabs>
        <w:spacing w:after="0" w:line="240" w:lineRule="auto"/>
        <w:ind w:left="0" w:firstLine="284"/>
        <w:rPr>
          <w:rFonts w:eastAsia="Times New Roman"/>
          <w:color w:val="000000"/>
          <w:lang w:val="uk-UA" w:eastAsia="ru-RU"/>
        </w:rPr>
      </w:pPr>
      <w:r w:rsidRPr="00944D97">
        <w:rPr>
          <w:rFonts w:eastAsia="Times New Roman"/>
          <w:color w:val="000000"/>
          <w:lang w:val="uk-UA" w:eastAsia="ru-RU"/>
        </w:rPr>
        <w:t>Kumar P., Gupta M., Rao C. et al. A Comparative Analysis of Collaborative Filtering Similarity Measurements for Recommendation Systems // Int. J. Recent and Innovation Trends in Computing and Communication. – 2023. – Vol. 11. – P. 184–192.</w:t>
      </w:r>
    </w:p>
    <w:p w14:paraId="174F7C50" w14:textId="77777777" w:rsidR="0061485A" w:rsidRPr="00944D97" w:rsidRDefault="0061485A" w:rsidP="00944D97">
      <w:pPr>
        <w:pStyle w:val="af2"/>
        <w:numPr>
          <w:ilvl w:val="0"/>
          <w:numId w:val="3"/>
        </w:numPr>
        <w:tabs>
          <w:tab w:val="clear" w:pos="288"/>
        </w:tabs>
        <w:spacing w:after="0" w:line="240" w:lineRule="auto"/>
        <w:ind w:left="0" w:firstLine="284"/>
        <w:rPr>
          <w:rFonts w:eastAsia="Times New Roman"/>
          <w:color w:val="000000"/>
          <w:lang w:val="uk-UA" w:eastAsia="ru-RU"/>
        </w:rPr>
        <w:sectPr w:rsidR="0061485A" w:rsidRPr="00944D97" w:rsidSect="00064B1F">
          <w:type w:val="continuous"/>
          <w:pgSz w:w="11906" w:h="16838"/>
          <w:pgMar w:top="1134" w:right="1134" w:bottom="1134" w:left="1418" w:header="709" w:footer="709" w:gutter="0"/>
          <w:cols w:num="2" w:space="708"/>
          <w:docGrid w:linePitch="360"/>
        </w:sectPr>
      </w:pPr>
    </w:p>
    <w:p w14:paraId="424F3E29" w14:textId="77777777" w:rsidR="001D4E8E" w:rsidRPr="00706759" w:rsidRDefault="001D4E8E" w:rsidP="00144209">
      <w:pPr>
        <w:rPr>
          <w:sz w:val="20"/>
          <w:szCs w:val="20"/>
        </w:rPr>
      </w:pPr>
    </w:p>
    <w:sectPr w:rsidR="001D4E8E" w:rsidRPr="00706759" w:rsidSect="00AB35A7">
      <w:type w:val="continuous"/>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184"/>
    <w:multiLevelType w:val="hybridMultilevel"/>
    <w:tmpl w:val="1786CA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9191B2A"/>
    <w:multiLevelType w:val="hybridMultilevel"/>
    <w:tmpl w:val="A79A5A40"/>
    <w:lvl w:ilvl="0" w:tplc="37004CD0">
      <w:start w:val="1"/>
      <w:numFmt w:val="decimal"/>
      <w:lvlText w:val="[%1]."/>
      <w:lvlJc w:val="left"/>
      <w:pPr>
        <w:ind w:left="720" w:hanging="360"/>
      </w:pPr>
      <w:rPr>
        <w:rFonts w:hint="default"/>
      </w:rPr>
    </w:lvl>
    <w:lvl w:ilvl="1" w:tplc="1BE68DBA">
      <w:start w:val="6"/>
      <w:numFmt w:val="bullet"/>
      <w:lvlText w:val=""/>
      <w:lvlJc w:val="left"/>
      <w:pPr>
        <w:ind w:left="1440" w:hanging="360"/>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7CE3BD5"/>
    <w:multiLevelType w:val="multilevel"/>
    <w:tmpl w:val="3AE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14A03"/>
    <w:multiLevelType w:val="hybridMultilevel"/>
    <w:tmpl w:val="01BE41F6"/>
    <w:lvl w:ilvl="0" w:tplc="8E061572">
      <w:numFmt w:val="bullet"/>
      <w:lvlText w:val=""/>
      <w:lvlJc w:val="left"/>
      <w:pPr>
        <w:ind w:left="804" w:hanging="444"/>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07460177">
    <w:abstractNumId w:val="2"/>
  </w:num>
  <w:num w:numId="2" w16cid:durableId="718824907">
    <w:abstractNumId w:val="1"/>
  </w:num>
  <w:num w:numId="3" w16cid:durableId="539903685">
    <w:abstractNumId w:val="0"/>
  </w:num>
  <w:num w:numId="4" w16cid:durableId="204578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83"/>
    <w:rsid w:val="000615EE"/>
    <w:rsid w:val="00064B1F"/>
    <w:rsid w:val="00064FC0"/>
    <w:rsid w:val="000C11E5"/>
    <w:rsid w:val="0011548B"/>
    <w:rsid w:val="00144209"/>
    <w:rsid w:val="0017162E"/>
    <w:rsid w:val="001B3C81"/>
    <w:rsid w:val="001B7D8E"/>
    <w:rsid w:val="001D4E8E"/>
    <w:rsid w:val="00217FDC"/>
    <w:rsid w:val="00221D0E"/>
    <w:rsid w:val="00226A34"/>
    <w:rsid w:val="00227FBE"/>
    <w:rsid w:val="0024024B"/>
    <w:rsid w:val="002A26CC"/>
    <w:rsid w:val="002C1B0A"/>
    <w:rsid w:val="00301F71"/>
    <w:rsid w:val="0030484F"/>
    <w:rsid w:val="003123E9"/>
    <w:rsid w:val="003721A9"/>
    <w:rsid w:val="003752A2"/>
    <w:rsid w:val="003A3144"/>
    <w:rsid w:val="003B6059"/>
    <w:rsid w:val="003F1C93"/>
    <w:rsid w:val="004232B6"/>
    <w:rsid w:val="00466F3D"/>
    <w:rsid w:val="0047047C"/>
    <w:rsid w:val="004A75A2"/>
    <w:rsid w:val="00515CD9"/>
    <w:rsid w:val="0053086C"/>
    <w:rsid w:val="00542429"/>
    <w:rsid w:val="00545C08"/>
    <w:rsid w:val="00560286"/>
    <w:rsid w:val="00572917"/>
    <w:rsid w:val="00573B9A"/>
    <w:rsid w:val="005E7E71"/>
    <w:rsid w:val="0061485A"/>
    <w:rsid w:val="00654A3F"/>
    <w:rsid w:val="00661C3A"/>
    <w:rsid w:val="0069300D"/>
    <w:rsid w:val="006C4C36"/>
    <w:rsid w:val="006D5C1F"/>
    <w:rsid w:val="006D6A00"/>
    <w:rsid w:val="00700C60"/>
    <w:rsid w:val="00706759"/>
    <w:rsid w:val="007164BC"/>
    <w:rsid w:val="00721875"/>
    <w:rsid w:val="00721D65"/>
    <w:rsid w:val="00732FB2"/>
    <w:rsid w:val="007574F3"/>
    <w:rsid w:val="007823BF"/>
    <w:rsid w:val="007E67C7"/>
    <w:rsid w:val="007F5D0A"/>
    <w:rsid w:val="00814F51"/>
    <w:rsid w:val="008207F7"/>
    <w:rsid w:val="00834B3F"/>
    <w:rsid w:val="00843A73"/>
    <w:rsid w:val="00844549"/>
    <w:rsid w:val="00866DB8"/>
    <w:rsid w:val="008E3975"/>
    <w:rsid w:val="00903FA4"/>
    <w:rsid w:val="00905C3D"/>
    <w:rsid w:val="00912CA6"/>
    <w:rsid w:val="00930EFD"/>
    <w:rsid w:val="0093123F"/>
    <w:rsid w:val="00944D97"/>
    <w:rsid w:val="00966AC0"/>
    <w:rsid w:val="009677A0"/>
    <w:rsid w:val="009D178C"/>
    <w:rsid w:val="00A03B46"/>
    <w:rsid w:val="00A12BA5"/>
    <w:rsid w:val="00A171D0"/>
    <w:rsid w:val="00A650E6"/>
    <w:rsid w:val="00AA2FE5"/>
    <w:rsid w:val="00AB35A7"/>
    <w:rsid w:val="00AE6383"/>
    <w:rsid w:val="00B0373F"/>
    <w:rsid w:val="00B42E78"/>
    <w:rsid w:val="00B573E3"/>
    <w:rsid w:val="00B850FA"/>
    <w:rsid w:val="00B95646"/>
    <w:rsid w:val="00BA65FD"/>
    <w:rsid w:val="00BF1BE9"/>
    <w:rsid w:val="00C278FC"/>
    <w:rsid w:val="00CD7281"/>
    <w:rsid w:val="00DC78ED"/>
    <w:rsid w:val="00DD035A"/>
    <w:rsid w:val="00E068ED"/>
    <w:rsid w:val="00E553CA"/>
    <w:rsid w:val="00E71AB7"/>
    <w:rsid w:val="00EA7960"/>
    <w:rsid w:val="00EE514A"/>
    <w:rsid w:val="00FA3D73"/>
    <w:rsid w:val="00FA60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CABD"/>
  <w15:chartTrackingRefBased/>
  <w15:docId w15:val="{619C0C1B-E01F-4787-861C-09EF692E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00D"/>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AE63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E63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E638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4">
    <w:name w:val="heading 4"/>
    <w:basedOn w:val="a"/>
    <w:next w:val="a"/>
    <w:link w:val="40"/>
    <w:uiPriority w:val="9"/>
    <w:semiHidden/>
    <w:unhideWhenUsed/>
    <w:qFormat/>
    <w:rsid w:val="00AE638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unhideWhenUsed/>
    <w:qFormat/>
    <w:rsid w:val="00AE638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E638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AE638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AE638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AE638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3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3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3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3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3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383"/>
    <w:rPr>
      <w:rFonts w:eastAsiaTheme="majorEastAsia" w:cstheme="majorBidi"/>
      <w:color w:val="272727" w:themeColor="text1" w:themeTint="D8"/>
    </w:rPr>
  </w:style>
  <w:style w:type="paragraph" w:styleId="a3">
    <w:name w:val="Title"/>
    <w:basedOn w:val="a"/>
    <w:next w:val="a"/>
    <w:link w:val="a4"/>
    <w:uiPriority w:val="10"/>
    <w:qFormat/>
    <w:rsid w:val="00AE63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AE6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383"/>
    <w:pPr>
      <w:numPr>
        <w:ilvl w:val="1"/>
      </w:numPr>
      <w:spacing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AE63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E6383"/>
    <w:pPr>
      <w:spacing w:before="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AE6383"/>
    <w:rPr>
      <w:i/>
      <w:iCs/>
      <w:color w:val="404040" w:themeColor="text1" w:themeTint="BF"/>
    </w:rPr>
  </w:style>
  <w:style w:type="paragraph" w:styleId="a9">
    <w:name w:val="List Paragraph"/>
    <w:basedOn w:val="a"/>
    <w:link w:val="aa"/>
    <w:uiPriority w:val="34"/>
    <w:qFormat/>
    <w:rsid w:val="00AE6383"/>
    <w:pPr>
      <w:spacing w:line="278" w:lineRule="auto"/>
      <w:ind w:left="720"/>
      <w:contextualSpacing/>
    </w:pPr>
    <w:rPr>
      <w:rFonts w:asciiTheme="minorHAnsi" w:hAnsiTheme="minorHAnsi" w:cstheme="minorBidi"/>
      <w:kern w:val="2"/>
      <w:sz w:val="24"/>
      <w:szCs w:val="24"/>
      <w14:ligatures w14:val="standardContextual"/>
    </w:rPr>
  </w:style>
  <w:style w:type="character" w:styleId="ab">
    <w:name w:val="Intense Emphasis"/>
    <w:basedOn w:val="a0"/>
    <w:uiPriority w:val="21"/>
    <w:qFormat/>
    <w:rsid w:val="00AE6383"/>
    <w:rPr>
      <w:i/>
      <w:iCs/>
      <w:color w:val="0F4761" w:themeColor="accent1" w:themeShade="BF"/>
    </w:rPr>
  </w:style>
  <w:style w:type="paragraph" w:styleId="ac">
    <w:name w:val="Intense Quote"/>
    <w:basedOn w:val="a"/>
    <w:next w:val="a"/>
    <w:link w:val="ad"/>
    <w:uiPriority w:val="30"/>
    <w:qFormat/>
    <w:rsid w:val="00AE63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ad">
    <w:name w:val="Насичена цитата Знак"/>
    <w:basedOn w:val="a0"/>
    <w:link w:val="ac"/>
    <w:uiPriority w:val="30"/>
    <w:rsid w:val="00AE6383"/>
    <w:rPr>
      <w:i/>
      <w:iCs/>
      <w:color w:val="0F4761" w:themeColor="accent1" w:themeShade="BF"/>
    </w:rPr>
  </w:style>
  <w:style w:type="character" w:styleId="ae">
    <w:name w:val="Intense Reference"/>
    <w:basedOn w:val="a0"/>
    <w:uiPriority w:val="32"/>
    <w:qFormat/>
    <w:rsid w:val="00AE6383"/>
    <w:rPr>
      <w:b/>
      <w:bCs/>
      <w:smallCaps/>
      <w:color w:val="0F4761" w:themeColor="accent1" w:themeShade="BF"/>
      <w:spacing w:val="5"/>
    </w:rPr>
  </w:style>
  <w:style w:type="character" w:styleId="af">
    <w:name w:val="Hyperlink"/>
    <w:basedOn w:val="a0"/>
    <w:uiPriority w:val="99"/>
    <w:unhideWhenUsed/>
    <w:rsid w:val="00E068ED"/>
    <w:rPr>
      <w:color w:val="467886" w:themeColor="hyperlink"/>
      <w:u w:val="single"/>
    </w:rPr>
  </w:style>
  <w:style w:type="character" w:styleId="af0">
    <w:name w:val="Unresolved Mention"/>
    <w:basedOn w:val="a0"/>
    <w:uiPriority w:val="99"/>
    <w:semiHidden/>
    <w:unhideWhenUsed/>
    <w:rsid w:val="00E068ED"/>
    <w:rPr>
      <w:color w:val="605E5C"/>
      <w:shd w:val="clear" w:color="auto" w:fill="E1DFDD"/>
    </w:rPr>
  </w:style>
  <w:style w:type="table" w:styleId="af1">
    <w:name w:val="Table Grid"/>
    <w:basedOn w:val="a1"/>
    <w:uiPriority w:val="39"/>
    <w:rsid w:val="00E068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068E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a">
    <w:name w:val="Абзац списку Знак"/>
    <w:link w:val="a9"/>
    <w:uiPriority w:val="34"/>
    <w:locked/>
    <w:rsid w:val="00AB35A7"/>
  </w:style>
  <w:style w:type="paragraph" w:customStyle="1" w:styleId="Author">
    <w:name w:val="Author"/>
    <w:uiPriority w:val="99"/>
    <w:rsid w:val="00542429"/>
    <w:pPr>
      <w:spacing w:before="360" w:after="40" w:line="240" w:lineRule="auto"/>
      <w:jc w:val="center"/>
    </w:pPr>
    <w:rPr>
      <w:rFonts w:ascii="Times New Roman" w:eastAsia="Times New Roman" w:hAnsi="Times New Roman" w:cs="Times New Roman"/>
      <w:noProof/>
      <w:kern w:val="0"/>
      <w:sz w:val="22"/>
      <w:szCs w:val="22"/>
      <w:lang w:val="en-US"/>
      <w14:ligatures w14:val="none"/>
    </w:rPr>
  </w:style>
  <w:style w:type="paragraph" w:styleId="af2">
    <w:name w:val="Body Text"/>
    <w:basedOn w:val="a"/>
    <w:link w:val="af3"/>
    <w:uiPriority w:val="99"/>
    <w:rsid w:val="00944D97"/>
    <w:pPr>
      <w:tabs>
        <w:tab w:val="left" w:pos="288"/>
      </w:tabs>
      <w:spacing w:after="120" w:line="228" w:lineRule="auto"/>
      <w:ind w:firstLine="288"/>
    </w:pPr>
    <w:rPr>
      <w:rFonts w:eastAsia="MS Mincho"/>
      <w:sz w:val="20"/>
      <w:szCs w:val="20"/>
      <w:lang w:val="x-none" w:eastAsia="x-none"/>
    </w:rPr>
  </w:style>
  <w:style w:type="character" w:customStyle="1" w:styleId="af3">
    <w:name w:val="Основний текст Знак"/>
    <w:basedOn w:val="a0"/>
    <w:link w:val="af2"/>
    <w:uiPriority w:val="99"/>
    <w:rsid w:val="00944D97"/>
    <w:rPr>
      <w:rFonts w:ascii="Times New Roman" w:eastAsia="MS Mincho" w:hAnsi="Times New Roman"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3705">
      <w:bodyDiv w:val="1"/>
      <w:marLeft w:val="0"/>
      <w:marRight w:val="0"/>
      <w:marTop w:val="0"/>
      <w:marBottom w:val="0"/>
      <w:divBdr>
        <w:top w:val="none" w:sz="0" w:space="0" w:color="auto"/>
        <w:left w:val="none" w:sz="0" w:space="0" w:color="auto"/>
        <w:bottom w:val="none" w:sz="0" w:space="0" w:color="auto"/>
        <w:right w:val="none" w:sz="0" w:space="0" w:color="auto"/>
      </w:divBdr>
    </w:div>
    <w:div w:id="76904697">
      <w:bodyDiv w:val="1"/>
      <w:marLeft w:val="0"/>
      <w:marRight w:val="0"/>
      <w:marTop w:val="0"/>
      <w:marBottom w:val="0"/>
      <w:divBdr>
        <w:top w:val="none" w:sz="0" w:space="0" w:color="auto"/>
        <w:left w:val="none" w:sz="0" w:space="0" w:color="auto"/>
        <w:bottom w:val="none" w:sz="0" w:space="0" w:color="auto"/>
        <w:right w:val="none" w:sz="0" w:space="0" w:color="auto"/>
      </w:divBdr>
    </w:div>
    <w:div w:id="142353740">
      <w:bodyDiv w:val="1"/>
      <w:marLeft w:val="0"/>
      <w:marRight w:val="0"/>
      <w:marTop w:val="0"/>
      <w:marBottom w:val="0"/>
      <w:divBdr>
        <w:top w:val="none" w:sz="0" w:space="0" w:color="auto"/>
        <w:left w:val="none" w:sz="0" w:space="0" w:color="auto"/>
        <w:bottom w:val="none" w:sz="0" w:space="0" w:color="auto"/>
        <w:right w:val="none" w:sz="0" w:space="0" w:color="auto"/>
      </w:divBdr>
    </w:div>
    <w:div w:id="146554004">
      <w:bodyDiv w:val="1"/>
      <w:marLeft w:val="0"/>
      <w:marRight w:val="0"/>
      <w:marTop w:val="0"/>
      <w:marBottom w:val="0"/>
      <w:divBdr>
        <w:top w:val="none" w:sz="0" w:space="0" w:color="auto"/>
        <w:left w:val="none" w:sz="0" w:space="0" w:color="auto"/>
        <w:bottom w:val="none" w:sz="0" w:space="0" w:color="auto"/>
        <w:right w:val="none" w:sz="0" w:space="0" w:color="auto"/>
      </w:divBdr>
    </w:div>
    <w:div w:id="177887078">
      <w:bodyDiv w:val="1"/>
      <w:marLeft w:val="0"/>
      <w:marRight w:val="0"/>
      <w:marTop w:val="0"/>
      <w:marBottom w:val="0"/>
      <w:divBdr>
        <w:top w:val="none" w:sz="0" w:space="0" w:color="auto"/>
        <w:left w:val="none" w:sz="0" w:space="0" w:color="auto"/>
        <w:bottom w:val="none" w:sz="0" w:space="0" w:color="auto"/>
        <w:right w:val="none" w:sz="0" w:space="0" w:color="auto"/>
      </w:divBdr>
    </w:div>
    <w:div w:id="333149453">
      <w:bodyDiv w:val="1"/>
      <w:marLeft w:val="0"/>
      <w:marRight w:val="0"/>
      <w:marTop w:val="0"/>
      <w:marBottom w:val="0"/>
      <w:divBdr>
        <w:top w:val="none" w:sz="0" w:space="0" w:color="auto"/>
        <w:left w:val="none" w:sz="0" w:space="0" w:color="auto"/>
        <w:bottom w:val="none" w:sz="0" w:space="0" w:color="auto"/>
        <w:right w:val="none" w:sz="0" w:space="0" w:color="auto"/>
      </w:divBdr>
    </w:div>
    <w:div w:id="564952723">
      <w:bodyDiv w:val="1"/>
      <w:marLeft w:val="0"/>
      <w:marRight w:val="0"/>
      <w:marTop w:val="0"/>
      <w:marBottom w:val="0"/>
      <w:divBdr>
        <w:top w:val="none" w:sz="0" w:space="0" w:color="auto"/>
        <w:left w:val="none" w:sz="0" w:space="0" w:color="auto"/>
        <w:bottom w:val="none" w:sz="0" w:space="0" w:color="auto"/>
        <w:right w:val="none" w:sz="0" w:space="0" w:color="auto"/>
      </w:divBdr>
    </w:div>
    <w:div w:id="594479086">
      <w:bodyDiv w:val="1"/>
      <w:marLeft w:val="0"/>
      <w:marRight w:val="0"/>
      <w:marTop w:val="0"/>
      <w:marBottom w:val="0"/>
      <w:divBdr>
        <w:top w:val="none" w:sz="0" w:space="0" w:color="auto"/>
        <w:left w:val="none" w:sz="0" w:space="0" w:color="auto"/>
        <w:bottom w:val="none" w:sz="0" w:space="0" w:color="auto"/>
        <w:right w:val="none" w:sz="0" w:space="0" w:color="auto"/>
      </w:divBdr>
    </w:div>
    <w:div w:id="633367822">
      <w:bodyDiv w:val="1"/>
      <w:marLeft w:val="0"/>
      <w:marRight w:val="0"/>
      <w:marTop w:val="0"/>
      <w:marBottom w:val="0"/>
      <w:divBdr>
        <w:top w:val="none" w:sz="0" w:space="0" w:color="auto"/>
        <w:left w:val="none" w:sz="0" w:space="0" w:color="auto"/>
        <w:bottom w:val="none" w:sz="0" w:space="0" w:color="auto"/>
        <w:right w:val="none" w:sz="0" w:space="0" w:color="auto"/>
      </w:divBdr>
    </w:div>
    <w:div w:id="847795068">
      <w:bodyDiv w:val="1"/>
      <w:marLeft w:val="0"/>
      <w:marRight w:val="0"/>
      <w:marTop w:val="0"/>
      <w:marBottom w:val="0"/>
      <w:divBdr>
        <w:top w:val="none" w:sz="0" w:space="0" w:color="auto"/>
        <w:left w:val="none" w:sz="0" w:space="0" w:color="auto"/>
        <w:bottom w:val="none" w:sz="0" w:space="0" w:color="auto"/>
        <w:right w:val="none" w:sz="0" w:space="0" w:color="auto"/>
      </w:divBdr>
    </w:div>
    <w:div w:id="976688110">
      <w:bodyDiv w:val="1"/>
      <w:marLeft w:val="0"/>
      <w:marRight w:val="0"/>
      <w:marTop w:val="0"/>
      <w:marBottom w:val="0"/>
      <w:divBdr>
        <w:top w:val="none" w:sz="0" w:space="0" w:color="auto"/>
        <w:left w:val="none" w:sz="0" w:space="0" w:color="auto"/>
        <w:bottom w:val="none" w:sz="0" w:space="0" w:color="auto"/>
        <w:right w:val="none" w:sz="0" w:space="0" w:color="auto"/>
      </w:divBdr>
    </w:div>
    <w:div w:id="992679696">
      <w:bodyDiv w:val="1"/>
      <w:marLeft w:val="0"/>
      <w:marRight w:val="0"/>
      <w:marTop w:val="0"/>
      <w:marBottom w:val="0"/>
      <w:divBdr>
        <w:top w:val="none" w:sz="0" w:space="0" w:color="auto"/>
        <w:left w:val="none" w:sz="0" w:space="0" w:color="auto"/>
        <w:bottom w:val="none" w:sz="0" w:space="0" w:color="auto"/>
        <w:right w:val="none" w:sz="0" w:space="0" w:color="auto"/>
      </w:divBdr>
    </w:div>
    <w:div w:id="1140225355">
      <w:bodyDiv w:val="1"/>
      <w:marLeft w:val="0"/>
      <w:marRight w:val="0"/>
      <w:marTop w:val="0"/>
      <w:marBottom w:val="0"/>
      <w:divBdr>
        <w:top w:val="none" w:sz="0" w:space="0" w:color="auto"/>
        <w:left w:val="none" w:sz="0" w:space="0" w:color="auto"/>
        <w:bottom w:val="none" w:sz="0" w:space="0" w:color="auto"/>
        <w:right w:val="none" w:sz="0" w:space="0" w:color="auto"/>
      </w:divBdr>
    </w:div>
    <w:div w:id="1148210107">
      <w:bodyDiv w:val="1"/>
      <w:marLeft w:val="0"/>
      <w:marRight w:val="0"/>
      <w:marTop w:val="0"/>
      <w:marBottom w:val="0"/>
      <w:divBdr>
        <w:top w:val="none" w:sz="0" w:space="0" w:color="auto"/>
        <w:left w:val="none" w:sz="0" w:space="0" w:color="auto"/>
        <w:bottom w:val="none" w:sz="0" w:space="0" w:color="auto"/>
        <w:right w:val="none" w:sz="0" w:space="0" w:color="auto"/>
      </w:divBdr>
    </w:div>
    <w:div w:id="1193422773">
      <w:bodyDiv w:val="1"/>
      <w:marLeft w:val="0"/>
      <w:marRight w:val="0"/>
      <w:marTop w:val="0"/>
      <w:marBottom w:val="0"/>
      <w:divBdr>
        <w:top w:val="none" w:sz="0" w:space="0" w:color="auto"/>
        <w:left w:val="none" w:sz="0" w:space="0" w:color="auto"/>
        <w:bottom w:val="none" w:sz="0" w:space="0" w:color="auto"/>
        <w:right w:val="none" w:sz="0" w:space="0" w:color="auto"/>
      </w:divBdr>
    </w:div>
    <w:div w:id="1291938130">
      <w:bodyDiv w:val="1"/>
      <w:marLeft w:val="0"/>
      <w:marRight w:val="0"/>
      <w:marTop w:val="0"/>
      <w:marBottom w:val="0"/>
      <w:divBdr>
        <w:top w:val="none" w:sz="0" w:space="0" w:color="auto"/>
        <w:left w:val="none" w:sz="0" w:space="0" w:color="auto"/>
        <w:bottom w:val="none" w:sz="0" w:space="0" w:color="auto"/>
        <w:right w:val="none" w:sz="0" w:space="0" w:color="auto"/>
      </w:divBdr>
    </w:div>
    <w:div w:id="1297375442">
      <w:bodyDiv w:val="1"/>
      <w:marLeft w:val="0"/>
      <w:marRight w:val="0"/>
      <w:marTop w:val="0"/>
      <w:marBottom w:val="0"/>
      <w:divBdr>
        <w:top w:val="none" w:sz="0" w:space="0" w:color="auto"/>
        <w:left w:val="none" w:sz="0" w:space="0" w:color="auto"/>
        <w:bottom w:val="none" w:sz="0" w:space="0" w:color="auto"/>
        <w:right w:val="none" w:sz="0" w:space="0" w:color="auto"/>
      </w:divBdr>
    </w:div>
    <w:div w:id="1432511751">
      <w:bodyDiv w:val="1"/>
      <w:marLeft w:val="0"/>
      <w:marRight w:val="0"/>
      <w:marTop w:val="0"/>
      <w:marBottom w:val="0"/>
      <w:divBdr>
        <w:top w:val="none" w:sz="0" w:space="0" w:color="auto"/>
        <w:left w:val="none" w:sz="0" w:space="0" w:color="auto"/>
        <w:bottom w:val="none" w:sz="0" w:space="0" w:color="auto"/>
        <w:right w:val="none" w:sz="0" w:space="0" w:color="auto"/>
      </w:divBdr>
    </w:div>
    <w:div w:id="1453135836">
      <w:bodyDiv w:val="1"/>
      <w:marLeft w:val="0"/>
      <w:marRight w:val="0"/>
      <w:marTop w:val="0"/>
      <w:marBottom w:val="0"/>
      <w:divBdr>
        <w:top w:val="none" w:sz="0" w:space="0" w:color="auto"/>
        <w:left w:val="none" w:sz="0" w:space="0" w:color="auto"/>
        <w:bottom w:val="none" w:sz="0" w:space="0" w:color="auto"/>
        <w:right w:val="none" w:sz="0" w:space="0" w:color="auto"/>
      </w:divBdr>
    </w:div>
    <w:div w:id="1474061574">
      <w:bodyDiv w:val="1"/>
      <w:marLeft w:val="0"/>
      <w:marRight w:val="0"/>
      <w:marTop w:val="0"/>
      <w:marBottom w:val="0"/>
      <w:divBdr>
        <w:top w:val="none" w:sz="0" w:space="0" w:color="auto"/>
        <w:left w:val="none" w:sz="0" w:space="0" w:color="auto"/>
        <w:bottom w:val="none" w:sz="0" w:space="0" w:color="auto"/>
        <w:right w:val="none" w:sz="0" w:space="0" w:color="auto"/>
      </w:divBdr>
    </w:div>
    <w:div w:id="1719167214">
      <w:bodyDiv w:val="1"/>
      <w:marLeft w:val="0"/>
      <w:marRight w:val="0"/>
      <w:marTop w:val="0"/>
      <w:marBottom w:val="0"/>
      <w:divBdr>
        <w:top w:val="none" w:sz="0" w:space="0" w:color="auto"/>
        <w:left w:val="none" w:sz="0" w:space="0" w:color="auto"/>
        <w:bottom w:val="none" w:sz="0" w:space="0" w:color="auto"/>
        <w:right w:val="none" w:sz="0" w:space="0" w:color="auto"/>
      </w:divBdr>
    </w:div>
    <w:div w:id="1722093075">
      <w:bodyDiv w:val="1"/>
      <w:marLeft w:val="0"/>
      <w:marRight w:val="0"/>
      <w:marTop w:val="0"/>
      <w:marBottom w:val="0"/>
      <w:divBdr>
        <w:top w:val="none" w:sz="0" w:space="0" w:color="auto"/>
        <w:left w:val="none" w:sz="0" w:space="0" w:color="auto"/>
        <w:bottom w:val="none" w:sz="0" w:space="0" w:color="auto"/>
        <w:right w:val="none" w:sz="0" w:space="0" w:color="auto"/>
      </w:divBdr>
    </w:div>
    <w:div w:id="1734893098">
      <w:bodyDiv w:val="1"/>
      <w:marLeft w:val="0"/>
      <w:marRight w:val="0"/>
      <w:marTop w:val="0"/>
      <w:marBottom w:val="0"/>
      <w:divBdr>
        <w:top w:val="none" w:sz="0" w:space="0" w:color="auto"/>
        <w:left w:val="none" w:sz="0" w:space="0" w:color="auto"/>
        <w:bottom w:val="none" w:sz="0" w:space="0" w:color="auto"/>
        <w:right w:val="none" w:sz="0" w:space="0" w:color="auto"/>
      </w:divBdr>
    </w:div>
    <w:div w:id="1869443859">
      <w:bodyDiv w:val="1"/>
      <w:marLeft w:val="0"/>
      <w:marRight w:val="0"/>
      <w:marTop w:val="0"/>
      <w:marBottom w:val="0"/>
      <w:divBdr>
        <w:top w:val="none" w:sz="0" w:space="0" w:color="auto"/>
        <w:left w:val="none" w:sz="0" w:space="0" w:color="auto"/>
        <w:bottom w:val="none" w:sz="0" w:space="0" w:color="auto"/>
        <w:right w:val="none" w:sz="0" w:space="0" w:color="auto"/>
      </w:divBdr>
    </w:div>
    <w:div w:id="1879314562">
      <w:bodyDiv w:val="1"/>
      <w:marLeft w:val="0"/>
      <w:marRight w:val="0"/>
      <w:marTop w:val="0"/>
      <w:marBottom w:val="0"/>
      <w:divBdr>
        <w:top w:val="none" w:sz="0" w:space="0" w:color="auto"/>
        <w:left w:val="none" w:sz="0" w:space="0" w:color="auto"/>
        <w:bottom w:val="none" w:sz="0" w:space="0" w:color="auto"/>
        <w:right w:val="none" w:sz="0" w:space="0" w:color="auto"/>
      </w:divBdr>
    </w:div>
    <w:div w:id="1908298606">
      <w:bodyDiv w:val="1"/>
      <w:marLeft w:val="0"/>
      <w:marRight w:val="0"/>
      <w:marTop w:val="0"/>
      <w:marBottom w:val="0"/>
      <w:divBdr>
        <w:top w:val="none" w:sz="0" w:space="0" w:color="auto"/>
        <w:left w:val="none" w:sz="0" w:space="0" w:color="auto"/>
        <w:bottom w:val="none" w:sz="0" w:space="0" w:color="auto"/>
        <w:right w:val="none" w:sz="0" w:space="0" w:color="auto"/>
      </w:divBdr>
    </w:div>
    <w:div w:id="1976793169">
      <w:bodyDiv w:val="1"/>
      <w:marLeft w:val="0"/>
      <w:marRight w:val="0"/>
      <w:marTop w:val="0"/>
      <w:marBottom w:val="0"/>
      <w:divBdr>
        <w:top w:val="none" w:sz="0" w:space="0" w:color="auto"/>
        <w:left w:val="none" w:sz="0" w:space="0" w:color="auto"/>
        <w:bottom w:val="none" w:sz="0" w:space="0" w:color="auto"/>
        <w:right w:val="none" w:sz="0" w:space="0" w:color="auto"/>
      </w:divBdr>
    </w:div>
    <w:div w:id="1979190427">
      <w:bodyDiv w:val="1"/>
      <w:marLeft w:val="0"/>
      <w:marRight w:val="0"/>
      <w:marTop w:val="0"/>
      <w:marBottom w:val="0"/>
      <w:divBdr>
        <w:top w:val="none" w:sz="0" w:space="0" w:color="auto"/>
        <w:left w:val="none" w:sz="0" w:space="0" w:color="auto"/>
        <w:bottom w:val="none" w:sz="0" w:space="0" w:color="auto"/>
        <w:right w:val="none" w:sz="0" w:space="0" w:color="auto"/>
      </w:divBdr>
    </w:div>
    <w:div w:id="2056849900">
      <w:bodyDiv w:val="1"/>
      <w:marLeft w:val="0"/>
      <w:marRight w:val="0"/>
      <w:marTop w:val="0"/>
      <w:marBottom w:val="0"/>
      <w:divBdr>
        <w:top w:val="none" w:sz="0" w:space="0" w:color="auto"/>
        <w:left w:val="none" w:sz="0" w:space="0" w:color="auto"/>
        <w:bottom w:val="none" w:sz="0" w:space="0" w:color="auto"/>
        <w:right w:val="none" w:sz="0" w:space="0" w:color="auto"/>
      </w:divBdr>
    </w:div>
    <w:div w:id="2057778492">
      <w:bodyDiv w:val="1"/>
      <w:marLeft w:val="0"/>
      <w:marRight w:val="0"/>
      <w:marTop w:val="0"/>
      <w:marBottom w:val="0"/>
      <w:divBdr>
        <w:top w:val="none" w:sz="0" w:space="0" w:color="auto"/>
        <w:left w:val="none" w:sz="0" w:space="0" w:color="auto"/>
        <w:bottom w:val="none" w:sz="0" w:space="0" w:color="auto"/>
        <w:right w:val="none" w:sz="0" w:space="0" w:color="auto"/>
      </w:divBdr>
    </w:div>
    <w:div w:id="2095008002">
      <w:bodyDiv w:val="1"/>
      <w:marLeft w:val="0"/>
      <w:marRight w:val="0"/>
      <w:marTop w:val="0"/>
      <w:marBottom w:val="0"/>
      <w:divBdr>
        <w:top w:val="none" w:sz="0" w:space="0" w:color="auto"/>
        <w:left w:val="none" w:sz="0" w:space="0" w:color="auto"/>
        <w:bottom w:val="none" w:sz="0" w:space="0" w:color="auto"/>
        <w:right w:val="none" w:sz="0" w:space="0" w:color="auto"/>
      </w:divBdr>
    </w:div>
    <w:div w:id="21301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6.bin"/><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image" Target="media/image16.wmf"/></Relationships>
</file>

<file path=word/charts/_rels/chart1.xml.rels><?xml version="1.0" encoding="UTF-8" standalone="yes"?>
<Relationships xmlns="http://schemas.openxmlformats.org/package/2006/relationships"><Relationship Id="rId3" Type="http://schemas.openxmlformats.org/officeDocument/2006/relationships/oleObject" Target="file:///D:\&#1050;&#1086;&#1085;&#1090;&#1088;&#1086;&#1083;&#1100;&#1085;&#1110;%20(&#1074;&#1080;&#1082;)\&#1053;&#1062;_18\&#1044;&#1080;&#1087;&#1083;&#1086;&#1084;_&#1088;&#1077;&#1082;&#1086;&#1084;&#1077;&#1085;&#1076;&#1072;&#1094;&#1110;&#1111;\Experimen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Лист1!$B$35:$B$36</c:f>
              <c:strCache>
                <c:ptCount val="2"/>
                <c:pt idx="0">
                  <c:v>Pearson</c:v>
                </c:pt>
                <c:pt idx="1">
                  <c:v>MAE</c:v>
                </c:pt>
              </c:strCache>
            </c:strRef>
          </c:tx>
          <c:spPr>
            <a:solidFill>
              <a:schemeClr val="accent1"/>
            </a:solidFill>
            <a:ln>
              <a:noFill/>
            </a:ln>
            <a:effectLst/>
          </c:spPr>
          <c:invertIfNegative val="0"/>
          <c:cat>
            <c:numRef>
              <c:f>Лист1!$A$37:$A$48</c:f>
              <c:numCache>
                <c:formatCode>General</c:formatCode>
                <c:ptCount val="12"/>
                <c:pt idx="0">
                  <c:v>0.05</c:v>
                </c:pt>
                <c:pt idx="1">
                  <c:v>0.1</c:v>
                </c:pt>
                <c:pt idx="2">
                  <c:v>0.15</c:v>
                </c:pt>
                <c:pt idx="3">
                  <c:v>0.2</c:v>
                </c:pt>
                <c:pt idx="4">
                  <c:v>0.25</c:v>
                </c:pt>
                <c:pt idx="5">
                  <c:v>0.3</c:v>
                </c:pt>
                <c:pt idx="6">
                  <c:v>0.35</c:v>
                </c:pt>
                <c:pt idx="7">
                  <c:v>0.4</c:v>
                </c:pt>
                <c:pt idx="8">
                  <c:v>0.45</c:v>
                </c:pt>
                <c:pt idx="9">
                  <c:v>0.5</c:v>
                </c:pt>
                <c:pt idx="10">
                  <c:v>0.55000000000000004</c:v>
                </c:pt>
                <c:pt idx="11">
                  <c:v>0.6</c:v>
                </c:pt>
              </c:numCache>
            </c:numRef>
          </c:cat>
          <c:val>
            <c:numRef>
              <c:f>Лист1!$B$37:$B$48</c:f>
              <c:numCache>
                <c:formatCode>General</c:formatCode>
                <c:ptCount val="12"/>
                <c:pt idx="0">
                  <c:v>1.75</c:v>
                </c:pt>
                <c:pt idx="1">
                  <c:v>1.86</c:v>
                </c:pt>
                <c:pt idx="2">
                  <c:v>1.77</c:v>
                </c:pt>
                <c:pt idx="3">
                  <c:v>1.87</c:v>
                </c:pt>
                <c:pt idx="4">
                  <c:v>1.76</c:v>
                </c:pt>
                <c:pt idx="5">
                  <c:v>1.77</c:v>
                </c:pt>
                <c:pt idx="6">
                  <c:v>1.68</c:v>
                </c:pt>
                <c:pt idx="7">
                  <c:v>1.83</c:v>
                </c:pt>
                <c:pt idx="8">
                  <c:v>1.6</c:v>
                </c:pt>
                <c:pt idx="9">
                  <c:v>1.75</c:v>
                </c:pt>
                <c:pt idx="10">
                  <c:v>1.6</c:v>
                </c:pt>
                <c:pt idx="11">
                  <c:v>1.77</c:v>
                </c:pt>
              </c:numCache>
            </c:numRef>
          </c:val>
          <c:extLst>
            <c:ext xmlns:c16="http://schemas.microsoft.com/office/drawing/2014/chart" uri="{C3380CC4-5D6E-409C-BE32-E72D297353CC}">
              <c16:uniqueId val="{00000000-D580-4689-B82F-7A03A3812F43}"/>
            </c:ext>
          </c:extLst>
        </c:ser>
        <c:ser>
          <c:idx val="1"/>
          <c:order val="1"/>
          <c:tx>
            <c:strRef>
              <c:f>Лист1!$C$35:$C$36</c:f>
              <c:strCache>
                <c:ptCount val="2"/>
                <c:pt idx="0">
                  <c:v>Pearson</c:v>
                </c:pt>
                <c:pt idx="1">
                  <c:v>RMSE</c:v>
                </c:pt>
              </c:strCache>
            </c:strRef>
          </c:tx>
          <c:spPr>
            <a:solidFill>
              <a:schemeClr val="accent2"/>
            </a:solidFill>
            <a:ln>
              <a:noFill/>
            </a:ln>
            <a:effectLst/>
          </c:spPr>
          <c:invertIfNegative val="0"/>
          <c:cat>
            <c:numRef>
              <c:f>Лист1!$A$37:$A$48</c:f>
              <c:numCache>
                <c:formatCode>General</c:formatCode>
                <c:ptCount val="12"/>
                <c:pt idx="0">
                  <c:v>0.05</c:v>
                </c:pt>
                <c:pt idx="1">
                  <c:v>0.1</c:v>
                </c:pt>
                <c:pt idx="2">
                  <c:v>0.15</c:v>
                </c:pt>
                <c:pt idx="3">
                  <c:v>0.2</c:v>
                </c:pt>
                <c:pt idx="4">
                  <c:v>0.25</c:v>
                </c:pt>
                <c:pt idx="5">
                  <c:v>0.3</c:v>
                </c:pt>
                <c:pt idx="6">
                  <c:v>0.35</c:v>
                </c:pt>
                <c:pt idx="7">
                  <c:v>0.4</c:v>
                </c:pt>
                <c:pt idx="8">
                  <c:v>0.45</c:v>
                </c:pt>
                <c:pt idx="9">
                  <c:v>0.5</c:v>
                </c:pt>
                <c:pt idx="10">
                  <c:v>0.55000000000000004</c:v>
                </c:pt>
                <c:pt idx="11">
                  <c:v>0.6</c:v>
                </c:pt>
              </c:numCache>
            </c:numRef>
          </c:cat>
          <c:val>
            <c:numRef>
              <c:f>Лист1!$C$37:$C$48</c:f>
              <c:numCache>
                <c:formatCode>General</c:formatCode>
                <c:ptCount val="12"/>
                <c:pt idx="0">
                  <c:v>2.17</c:v>
                </c:pt>
                <c:pt idx="1">
                  <c:v>2.27</c:v>
                </c:pt>
                <c:pt idx="2">
                  <c:v>2.2200000000000002</c:v>
                </c:pt>
                <c:pt idx="3">
                  <c:v>2.29</c:v>
                </c:pt>
                <c:pt idx="4">
                  <c:v>2.17</c:v>
                </c:pt>
                <c:pt idx="5">
                  <c:v>2.19</c:v>
                </c:pt>
                <c:pt idx="6">
                  <c:v>2.09</c:v>
                </c:pt>
                <c:pt idx="7">
                  <c:v>2.25</c:v>
                </c:pt>
                <c:pt idx="8">
                  <c:v>2.04</c:v>
                </c:pt>
                <c:pt idx="9">
                  <c:v>2.1800000000000002</c:v>
                </c:pt>
                <c:pt idx="10">
                  <c:v>2.0499999999999998</c:v>
                </c:pt>
                <c:pt idx="11">
                  <c:v>2.1800000000000002</c:v>
                </c:pt>
              </c:numCache>
            </c:numRef>
          </c:val>
          <c:extLst>
            <c:ext xmlns:c16="http://schemas.microsoft.com/office/drawing/2014/chart" uri="{C3380CC4-5D6E-409C-BE32-E72D297353CC}">
              <c16:uniqueId val="{00000001-D580-4689-B82F-7A03A3812F43}"/>
            </c:ext>
          </c:extLst>
        </c:ser>
        <c:ser>
          <c:idx val="2"/>
          <c:order val="2"/>
          <c:tx>
            <c:strRef>
              <c:f>Лист1!$D$35:$D$36</c:f>
              <c:strCache>
                <c:ptCount val="2"/>
                <c:pt idx="0">
                  <c:v>Regularisation</c:v>
                </c:pt>
                <c:pt idx="1">
                  <c:v>MAE</c:v>
                </c:pt>
              </c:strCache>
            </c:strRef>
          </c:tx>
          <c:spPr>
            <a:solidFill>
              <a:schemeClr val="accent3"/>
            </a:solidFill>
            <a:ln>
              <a:noFill/>
            </a:ln>
            <a:effectLst/>
          </c:spPr>
          <c:invertIfNegative val="0"/>
          <c:cat>
            <c:numRef>
              <c:f>Лист1!$A$37:$A$48</c:f>
              <c:numCache>
                <c:formatCode>General</c:formatCode>
                <c:ptCount val="12"/>
                <c:pt idx="0">
                  <c:v>0.05</c:v>
                </c:pt>
                <c:pt idx="1">
                  <c:v>0.1</c:v>
                </c:pt>
                <c:pt idx="2">
                  <c:v>0.15</c:v>
                </c:pt>
                <c:pt idx="3">
                  <c:v>0.2</c:v>
                </c:pt>
                <c:pt idx="4">
                  <c:v>0.25</c:v>
                </c:pt>
                <c:pt idx="5">
                  <c:v>0.3</c:v>
                </c:pt>
                <c:pt idx="6">
                  <c:v>0.35</c:v>
                </c:pt>
                <c:pt idx="7">
                  <c:v>0.4</c:v>
                </c:pt>
                <c:pt idx="8">
                  <c:v>0.45</c:v>
                </c:pt>
                <c:pt idx="9">
                  <c:v>0.5</c:v>
                </c:pt>
                <c:pt idx="10">
                  <c:v>0.55000000000000004</c:v>
                </c:pt>
                <c:pt idx="11">
                  <c:v>0.6</c:v>
                </c:pt>
              </c:numCache>
            </c:numRef>
          </c:cat>
          <c:val>
            <c:numRef>
              <c:f>Лист1!$D$37:$D$48</c:f>
              <c:numCache>
                <c:formatCode>General</c:formatCode>
                <c:ptCount val="12"/>
                <c:pt idx="0">
                  <c:v>1.73</c:v>
                </c:pt>
                <c:pt idx="1">
                  <c:v>1.85</c:v>
                </c:pt>
                <c:pt idx="2">
                  <c:v>1.76</c:v>
                </c:pt>
                <c:pt idx="3">
                  <c:v>1.86</c:v>
                </c:pt>
                <c:pt idx="4">
                  <c:v>1.74</c:v>
                </c:pt>
                <c:pt idx="5">
                  <c:v>1.74</c:v>
                </c:pt>
                <c:pt idx="6">
                  <c:v>1.64</c:v>
                </c:pt>
                <c:pt idx="7">
                  <c:v>1.8</c:v>
                </c:pt>
                <c:pt idx="8">
                  <c:v>1.54</c:v>
                </c:pt>
                <c:pt idx="9">
                  <c:v>1.7</c:v>
                </c:pt>
                <c:pt idx="10">
                  <c:v>1.55</c:v>
                </c:pt>
                <c:pt idx="11">
                  <c:v>1.75</c:v>
                </c:pt>
              </c:numCache>
            </c:numRef>
          </c:val>
          <c:extLst>
            <c:ext xmlns:c16="http://schemas.microsoft.com/office/drawing/2014/chart" uri="{C3380CC4-5D6E-409C-BE32-E72D297353CC}">
              <c16:uniqueId val="{00000002-D580-4689-B82F-7A03A3812F43}"/>
            </c:ext>
          </c:extLst>
        </c:ser>
        <c:ser>
          <c:idx val="3"/>
          <c:order val="3"/>
          <c:tx>
            <c:strRef>
              <c:f>Лист1!$E$35:$E$36</c:f>
              <c:strCache>
                <c:ptCount val="2"/>
                <c:pt idx="0">
                  <c:v>Regularisation</c:v>
                </c:pt>
                <c:pt idx="1">
                  <c:v>RMSE</c:v>
                </c:pt>
              </c:strCache>
            </c:strRef>
          </c:tx>
          <c:spPr>
            <a:solidFill>
              <a:schemeClr val="accent4"/>
            </a:solidFill>
            <a:ln>
              <a:noFill/>
            </a:ln>
            <a:effectLst/>
          </c:spPr>
          <c:invertIfNegative val="0"/>
          <c:cat>
            <c:numRef>
              <c:f>Лист1!$A$37:$A$48</c:f>
              <c:numCache>
                <c:formatCode>General</c:formatCode>
                <c:ptCount val="12"/>
                <c:pt idx="0">
                  <c:v>0.05</c:v>
                </c:pt>
                <c:pt idx="1">
                  <c:v>0.1</c:v>
                </c:pt>
                <c:pt idx="2">
                  <c:v>0.15</c:v>
                </c:pt>
                <c:pt idx="3">
                  <c:v>0.2</c:v>
                </c:pt>
                <c:pt idx="4">
                  <c:v>0.25</c:v>
                </c:pt>
                <c:pt idx="5">
                  <c:v>0.3</c:v>
                </c:pt>
                <c:pt idx="6">
                  <c:v>0.35</c:v>
                </c:pt>
                <c:pt idx="7">
                  <c:v>0.4</c:v>
                </c:pt>
                <c:pt idx="8">
                  <c:v>0.45</c:v>
                </c:pt>
                <c:pt idx="9">
                  <c:v>0.5</c:v>
                </c:pt>
                <c:pt idx="10">
                  <c:v>0.55000000000000004</c:v>
                </c:pt>
                <c:pt idx="11">
                  <c:v>0.6</c:v>
                </c:pt>
              </c:numCache>
            </c:numRef>
          </c:cat>
          <c:val>
            <c:numRef>
              <c:f>Лист1!$E$37:$E$48</c:f>
              <c:numCache>
                <c:formatCode>General</c:formatCode>
                <c:ptCount val="12"/>
                <c:pt idx="0">
                  <c:v>2.16</c:v>
                </c:pt>
                <c:pt idx="1">
                  <c:v>2.27</c:v>
                </c:pt>
                <c:pt idx="2">
                  <c:v>2.2000000000000002</c:v>
                </c:pt>
                <c:pt idx="3">
                  <c:v>2.2799999999999998</c:v>
                </c:pt>
                <c:pt idx="4">
                  <c:v>2.16</c:v>
                </c:pt>
                <c:pt idx="5">
                  <c:v>2.17</c:v>
                </c:pt>
                <c:pt idx="6">
                  <c:v>2.06</c:v>
                </c:pt>
                <c:pt idx="7">
                  <c:v>2.23</c:v>
                </c:pt>
                <c:pt idx="8">
                  <c:v>2</c:v>
                </c:pt>
                <c:pt idx="9">
                  <c:v>2.14</c:v>
                </c:pt>
                <c:pt idx="10">
                  <c:v>2</c:v>
                </c:pt>
                <c:pt idx="11">
                  <c:v>2.16</c:v>
                </c:pt>
              </c:numCache>
            </c:numRef>
          </c:val>
          <c:extLst>
            <c:ext xmlns:c16="http://schemas.microsoft.com/office/drawing/2014/chart" uri="{C3380CC4-5D6E-409C-BE32-E72D297353CC}">
              <c16:uniqueId val="{00000003-D580-4689-B82F-7A03A3812F43}"/>
            </c:ext>
          </c:extLst>
        </c:ser>
        <c:dLbls>
          <c:showLegendKey val="0"/>
          <c:showVal val="0"/>
          <c:showCatName val="0"/>
          <c:showSerName val="0"/>
          <c:showPercent val="0"/>
          <c:showBubbleSize val="0"/>
        </c:dLbls>
        <c:gapWidth val="219"/>
        <c:overlap val="-27"/>
        <c:axId val="493725168"/>
        <c:axId val="493726808"/>
      </c:barChart>
      <c:catAx>
        <c:axId val="493725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dirty="0">
                    <a:latin typeface="Arial" panose="020B0604020202020204" pitchFamily="34" charset="0"/>
                  </a:rPr>
                  <a:t>Частка відсутніх</a:t>
                </a:r>
                <a:r>
                  <a:rPr lang="uk-UA" baseline="0" dirty="0">
                    <a:latin typeface="Arial" panose="020B0604020202020204" pitchFamily="34" charset="0"/>
                  </a:rPr>
                  <a:t> оцінок</a:t>
                </a:r>
                <a:endParaRPr lang="uk-UA" dirty="0">
                  <a:latin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3726808"/>
        <c:crosses val="autoZero"/>
        <c:auto val="1"/>
        <c:lblAlgn val="ctr"/>
        <c:lblOffset val="100"/>
        <c:noMultiLvlLbl val="0"/>
      </c:catAx>
      <c:valAx>
        <c:axId val="493726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9372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AE12-C1F8-4E8F-893C-2278216A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4735</Words>
  <Characters>2699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ftr07042023@outlook.com</dc:creator>
  <cp:keywords/>
  <dc:description/>
  <cp:lastModifiedBy>Liudmyla Rybachuk</cp:lastModifiedBy>
  <cp:revision>73</cp:revision>
  <dcterms:created xsi:type="dcterms:W3CDTF">2025-05-05T08:05:00Z</dcterms:created>
  <dcterms:modified xsi:type="dcterms:W3CDTF">2025-05-14T10:34:00Z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